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jc w:val="right"/>
        <w:rPr>
          <w:rFonts w:ascii="宋体" w:hAnsi="Times New Roman" w:eastAsia="宋体" w:cs="宋体"/>
          <w:b/>
          <w:kern w:val="0"/>
          <w:szCs w:val="24"/>
          <w:u w:val="single"/>
        </w:rPr>
      </w:pPr>
      <w:r>
        <w:rPr>
          <w:rFonts w:hint="eastAsia" w:ascii="宋体" w:hAnsi="Times New Roman" w:eastAsia="宋体" w:cs="宋体"/>
          <w:kern w:val="0"/>
          <w:szCs w:val="24"/>
        </w:rPr>
        <w:t xml:space="preserve">                                                     项目编号：</w:t>
      </w:r>
      <w:r>
        <w:rPr>
          <w:rFonts w:hint="eastAsia" w:ascii="宋体" w:hAnsi="Times New Roman" w:eastAsia="宋体" w:cs="宋体"/>
          <w:b/>
          <w:kern w:val="0"/>
          <w:szCs w:val="24"/>
          <w:u w:val="single"/>
        </w:rPr>
        <w:t>SSZX2024-440</w:t>
      </w: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spacing w:line="300" w:lineRule="auto"/>
        <w:jc w:val="center"/>
        <w:rPr>
          <w:rFonts w:ascii="宋体" w:hAnsi="Times New Roman" w:eastAsia="宋体" w:cs="Times New Roman"/>
          <w:spacing w:val="26"/>
          <w:sz w:val="72"/>
          <w:szCs w:val="20"/>
        </w:rPr>
      </w:pPr>
    </w:p>
    <w:p>
      <w:pPr>
        <w:spacing w:line="300" w:lineRule="auto"/>
        <w:jc w:val="center"/>
        <w:rPr>
          <w:rFonts w:ascii="宋体" w:hAnsi="Times New Roman" w:eastAsia="宋体" w:cs="Times New Roman"/>
          <w:spacing w:val="26"/>
          <w:sz w:val="72"/>
          <w:szCs w:val="20"/>
        </w:rPr>
      </w:pPr>
      <w:r>
        <w:rPr>
          <w:rFonts w:hint="eastAsia" w:ascii="宋体" w:hAnsi="Times New Roman" w:eastAsia="宋体" w:cs="Times New Roman"/>
          <w:spacing w:val="26"/>
          <w:sz w:val="72"/>
          <w:szCs w:val="20"/>
        </w:rPr>
        <w:t>招标文件</w:t>
      </w: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jc w:val="center"/>
        <w:rPr>
          <w:rFonts w:ascii="黑体" w:hAnsi="Times New Roman" w:eastAsia="黑体" w:cs="Arial"/>
          <w:kern w:val="0"/>
          <w:sz w:val="52"/>
          <w:szCs w:val="52"/>
        </w:rPr>
      </w:pPr>
      <w:r>
        <w:rPr>
          <w:rFonts w:hint="eastAsia" w:ascii="黑体" w:hAnsi="Times New Roman" w:eastAsia="黑体" w:cs="Arial"/>
          <w:kern w:val="0"/>
          <w:sz w:val="52"/>
          <w:szCs w:val="52"/>
        </w:rPr>
        <w:t>【服务类】</w:t>
      </w: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spacing w:line="300" w:lineRule="auto"/>
        <w:ind w:left="1798" w:leftChars="142" w:hanging="1500" w:hangingChars="500"/>
        <w:rPr>
          <w:rFonts w:ascii="宋体" w:hAnsi="Times New Roman" w:eastAsia="宋体" w:cs="Times New Roman"/>
          <w:sz w:val="30"/>
          <w:szCs w:val="20"/>
        </w:rPr>
      </w:pPr>
      <w:r>
        <w:rPr>
          <w:rFonts w:hint="eastAsia" w:ascii="宋体" w:hAnsi="Times New Roman" w:eastAsia="宋体" w:cs="Times New Roman"/>
          <w:sz w:val="30"/>
          <w:szCs w:val="20"/>
        </w:rPr>
        <w:t>项目名称：</w:t>
      </w:r>
      <w:r>
        <w:rPr>
          <w:rFonts w:hint="eastAsia" w:ascii="宋体" w:hAnsi="Times New Roman" w:eastAsia="宋体" w:cs="Times New Roman"/>
          <w:sz w:val="30"/>
          <w:szCs w:val="20"/>
          <w:u w:val="single"/>
        </w:rPr>
        <w:t>2025-2026年度电梯维保服务</w:t>
      </w:r>
    </w:p>
    <w:p>
      <w:pPr>
        <w:spacing w:line="300" w:lineRule="auto"/>
        <w:ind w:left="1500" w:hanging="1500" w:hangingChars="500"/>
        <w:rPr>
          <w:rFonts w:ascii="宋体" w:hAnsi="Times New Roman" w:eastAsia="宋体" w:cs="Times New Roman"/>
          <w:sz w:val="30"/>
          <w:szCs w:val="20"/>
        </w:rPr>
      </w:pPr>
    </w:p>
    <w:p>
      <w:pPr>
        <w:spacing w:line="300" w:lineRule="auto"/>
        <w:ind w:left="1498" w:leftChars="142" w:hanging="1200" w:hangingChars="400"/>
        <w:rPr>
          <w:rFonts w:ascii="宋体" w:hAnsi="Times New Roman" w:eastAsia="宋体" w:cs="Times New Roman"/>
          <w:sz w:val="30"/>
          <w:szCs w:val="20"/>
        </w:rPr>
      </w:pPr>
      <w:r>
        <w:rPr>
          <w:rFonts w:hint="eastAsia" w:ascii="宋体" w:hAnsi="Times New Roman" w:eastAsia="宋体" w:cs="Times New Roman"/>
          <w:sz w:val="30"/>
          <w:szCs w:val="20"/>
        </w:rPr>
        <w:t>采购人名称：</w:t>
      </w:r>
      <w:r>
        <w:rPr>
          <w:rFonts w:hint="eastAsia" w:ascii="宋体" w:hAnsi="Times New Roman" w:eastAsia="宋体" w:cs="Times New Roman"/>
          <w:sz w:val="30"/>
          <w:szCs w:val="20"/>
          <w:u w:val="single"/>
        </w:rPr>
        <w:t>深圳海关后勤管理中心、深圳市深海悦物业管理服务有限公司、深圳市鹏检物业管理有限公司</w:t>
      </w:r>
    </w:p>
    <w:p>
      <w:pPr>
        <w:spacing w:line="300" w:lineRule="auto"/>
        <w:ind w:left="1500" w:hanging="1500" w:hangingChars="500"/>
        <w:rPr>
          <w:rFonts w:ascii="宋体" w:hAnsi="Times New Roman" w:eastAsia="宋体" w:cs="Times New Roman"/>
          <w:sz w:val="30"/>
          <w:szCs w:val="20"/>
        </w:rPr>
      </w:pPr>
    </w:p>
    <w:p>
      <w:pPr>
        <w:spacing w:line="300" w:lineRule="auto"/>
        <w:ind w:left="1498" w:leftChars="142" w:hanging="1200" w:hangingChars="400"/>
        <w:rPr>
          <w:rFonts w:ascii="宋体" w:hAnsi="Times New Roman" w:eastAsia="宋体" w:cs="宋体"/>
          <w:kern w:val="0"/>
          <w:szCs w:val="24"/>
        </w:rPr>
      </w:pPr>
      <w:r>
        <w:rPr>
          <w:rFonts w:hint="eastAsia" w:ascii="宋体" w:hAnsi="Times New Roman" w:eastAsia="宋体" w:cs="Times New Roman"/>
          <w:sz w:val="30"/>
          <w:szCs w:val="20"/>
        </w:rPr>
        <w:t>采购代理机构名称：</w:t>
      </w:r>
      <w:r>
        <w:rPr>
          <w:rFonts w:hint="eastAsia" w:ascii="宋体" w:hAnsi="Times New Roman" w:eastAsia="宋体" w:cs="Times New Roman"/>
          <w:sz w:val="30"/>
          <w:szCs w:val="20"/>
          <w:u w:val="single"/>
        </w:rPr>
        <w:t>深圳市深水水务咨询有限公司</w:t>
      </w:r>
    </w:p>
    <w:p>
      <w:pPr>
        <w:widowControl/>
        <w:shd w:val="clear" w:color="auto" w:fill="FFFFFF"/>
        <w:adjustRightInd w:val="0"/>
        <w:snapToGrid w:val="0"/>
        <w:spacing w:line="360" w:lineRule="auto"/>
        <w:jc w:val="center"/>
        <w:rPr>
          <w:rFonts w:ascii="宋体" w:hAnsi="Times New Roman" w:eastAsia="宋体" w:cs="宋体"/>
          <w:b/>
          <w:kern w:val="0"/>
          <w:sz w:val="32"/>
          <w:szCs w:val="32"/>
        </w:rPr>
      </w:pPr>
      <w:r>
        <w:rPr>
          <w:rFonts w:ascii="宋体" w:hAnsi="Times New Roman" w:eastAsia="宋体" w:cs="宋体"/>
          <w:kern w:val="0"/>
          <w:szCs w:val="24"/>
        </w:rPr>
        <w:br w:type="page"/>
      </w:r>
      <w:r>
        <w:rPr>
          <w:rFonts w:hint="eastAsia" w:ascii="宋体" w:hAnsi="Times New Roman" w:eastAsia="宋体" w:cs="宋体"/>
          <w:b/>
          <w:kern w:val="0"/>
          <w:sz w:val="32"/>
          <w:szCs w:val="32"/>
        </w:rPr>
        <w:t>目      录</w:t>
      </w:r>
    </w:p>
    <w:p>
      <w:pPr>
        <w:widowControl/>
        <w:shd w:val="clear" w:color="auto" w:fill="FFFFFF"/>
        <w:adjustRightInd w:val="0"/>
        <w:snapToGrid w:val="0"/>
        <w:spacing w:line="360" w:lineRule="auto"/>
        <w:jc w:val="center"/>
        <w:rPr>
          <w:rFonts w:ascii="宋体" w:hAnsi="Times New Roman" w:eastAsia="宋体" w:cs="宋体"/>
          <w:kern w:val="0"/>
          <w:sz w:val="32"/>
          <w:szCs w:val="32"/>
        </w:rPr>
      </w:pPr>
    </w:p>
    <w:p>
      <w:pPr>
        <w:pStyle w:val="58"/>
        <w:rPr>
          <w:rFonts w:asciiTheme="minorHAnsi" w:hAnsiTheme="minorHAnsi" w:eastAsiaTheme="minorEastAsia" w:cstheme="minorBidi"/>
          <w:b w:val="0"/>
          <w:bCs w:val="0"/>
          <w:caps w:val="0"/>
          <w:kern w:val="2"/>
          <w:sz w:val="21"/>
          <w:szCs w:val="22"/>
        </w:rPr>
      </w:pPr>
      <w:r>
        <w:fldChar w:fldCharType="begin"/>
      </w:r>
      <w:r>
        <w:instrText xml:space="preserve"> TOC \o "1-3" \h \z \u </w:instrText>
      </w:r>
      <w:r>
        <w:fldChar w:fldCharType="separate"/>
      </w:r>
      <w:r>
        <w:fldChar w:fldCharType="begin"/>
      </w:r>
      <w:r>
        <w:instrText xml:space="preserve"> HYPERLINK \l "_Toc167352539" </w:instrText>
      </w:r>
      <w:r>
        <w:fldChar w:fldCharType="separate"/>
      </w:r>
      <w:r>
        <w:rPr>
          <w:rStyle w:val="99"/>
          <w:rFonts w:hAnsi="Cambria" w:cs="Times New Roman"/>
          <w:kern w:val="28"/>
        </w:rPr>
        <w:t>项目关键信息</w:t>
      </w:r>
      <w:r>
        <w:tab/>
      </w:r>
      <w:r>
        <w:fldChar w:fldCharType="begin"/>
      </w:r>
      <w:r>
        <w:instrText xml:space="preserve"> PAGEREF _Toc167352539 \h </w:instrText>
      </w:r>
      <w:r>
        <w:fldChar w:fldCharType="separate"/>
      </w:r>
      <w:r>
        <w:t>1</w:t>
      </w:r>
      <w:r>
        <w:fldChar w:fldCharType="end"/>
      </w:r>
      <w:r>
        <w:fldChar w:fldCharType="end"/>
      </w:r>
    </w:p>
    <w:p>
      <w:pPr>
        <w:pStyle w:val="58"/>
        <w:rPr>
          <w:rFonts w:asciiTheme="minorHAnsi" w:hAnsiTheme="minorHAnsi" w:eastAsiaTheme="minorEastAsia" w:cstheme="minorBidi"/>
          <w:b w:val="0"/>
          <w:bCs w:val="0"/>
          <w:caps w:val="0"/>
          <w:kern w:val="2"/>
          <w:sz w:val="21"/>
          <w:szCs w:val="22"/>
        </w:rPr>
      </w:pPr>
      <w:r>
        <w:fldChar w:fldCharType="begin"/>
      </w:r>
      <w:r>
        <w:instrText xml:space="preserve"> HYPERLINK \l "_Toc167352540" </w:instrText>
      </w:r>
      <w:r>
        <w:fldChar w:fldCharType="separate"/>
      </w:r>
      <w:r>
        <w:rPr>
          <w:rStyle w:val="99"/>
          <w:rFonts w:hAnsi="Cambria" w:cs="Times New Roman"/>
          <w:kern w:val="28"/>
        </w:rPr>
        <w:t>资格、符合性评审条款</w:t>
      </w:r>
      <w:r>
        <w:tab/>
      </w:r>
      <w:r>
        <w:fldChar w:fldCharType="begin"/>
      </w:r>
      <w:r>
        <w:instrText xml:space="preserve"> PAGEREF _Toc167352540 \h </w:instrText>
      </w:r>
      <w:r>
        <w:fldChar w:fldCharType="separate"/>
      </w:r>
      <w:r>
        <w:t>2</w:t>
      </w:r>
      <w:r>
        <w:fldChar w:fldCharType="end"/>
      </w:r>
      <w:r>
        <w:fldChar w:fldCharType="end"/>
      </w:r>
    </w:p>
    <w:p>
      <w:pPr>
        <w:pStyle w:val="58"/>
        <w:rPr>
          <w:rFonts w:asciiTheme="minorHAnsi" w:hAnsiTheme="minorHAnsi" w:eastAsiaTheme="minorEastAsia" w:cstheme="minorBidi"/>
          <w:b w:val="0"/>
          <w:bCs w:val="0"/>
          <w:caps w:val="0"/>
          <w:kern w:val="2"/>
          <w:sz w:val="21"/>
          <w:szCs w:val="22"/>
        </w:rPr>
      </w:pPr>
      <w:r>
        <w:fldChar w:fldCharType="begin"/>
      </w:r>
      <w:r>
        <w:instrText xml:space="preserve"> HYPERLINK \l "_Toc167352541" </w:instrText>
      </w:r>
      <w:r>
        <w:fldChar w:fldCharType="separate"/>
      </w:r>
      <w:r>
        <w:rPr>
          <w:rStyle w:val="99"/>
          <w:rFonts w:hAnsi="Cambria" w:cs="Times New Roman"/>
          <w:kern w:val="28"/>
        </w:rPr>
        <w:t>评标信息</w:t>
      </w:r>
      <w:r>
        <w:tab/>
      </w:r>
      <w:r>
        <w:fldChar w:fldCharType="begin"/>
      </w:r>
      <w:r>
        <w:instrText xml:space="preserve"> PAGEREF _Toc167352541 \h </w:instrText>
      </w:r>
      <w:r>
        <w:fldChar w:fldCharType="separate"/>
      </w:r>
      <w:r>
        <w:t>3</w:t>
      </w:r>
      <w:r>
        <w:fldChar w:fldCharType="end"/>
      </w:r>
      <w:r>
        <w:fldChar w:fldCharType="end"/>
      </w:r>
    </w:p>
    <w:p>
      <w:pPr>
        <w:pStyle w:val="58"/>
        <w:rPr>
          <w:rFonts w:asciiTheme="minorHAnsi" w:hAnsiTheme="minorHAnsi" w:eastAsiaTheme="minorEastAsia" w:cstheme="minorBidi"/>
          <w:b w:val="0"/>
          <w:bCs w:val="0"/>
          <w:caps w:val="0"/>
          <w:kern w:val="2"/>
          <w:sz w:val="21"/>
          <w:szCs w:val="22"/>
        </w:rPr>
      </w:pPr>
      <w:r>
        <w:fldChar w:fldCharType="begin"/>
      </w:r>
      <w:r>
        <w:instrText xml:space="preserve"> HYPERLINK \l "_Toc167352542" </w:instrText>
      </w:r>
      <w:r>
        <w:fldChar w:fldCharType="separate"/>
      </w:r>
      <w:r>
        <w:rPr>
          <w:rStyle w:val="99"/>
          <w:rFonts w:hAnsi="Cambria" w:cs="Times New Roman"/>
          <w:kern w:val="28"/>
        </w:rPr>
        <w:t>评分细则表</w:t>
      </w:r>
      <w:r>
        <w:tab/>
      </w:r>
      <w:r>
        <w:fldChar w:fldCharType="begin"/>
      </w:r>
      <w:r>
        <w:instrText xml:space="preserve"> PAGEREF _Toc167352542 \h </w:instrText>
      </w:r>
      <w:r>
        <w:fldChar w:fldCharType="separate"/>
      </w:r>
      <w:r>
        <w:t>5</w:t>
      </w:r>
      <w:r>
        <w:fldChar w:fldCharType="end"/>
      </w:r>
      <w:r>
        <w:fldChar w:fldCharType="end"/>
      </w:r>
    </w:p>
    <w:p>
      <w:pPr>
        <w:pStyle w:val="58"/>
        <w:rPr>
          <w:rFonts w:asciiTheme="minorHAnsi" w:hAnsiTheme="minorHAnsi" w:eastAsiaTheme="minorEastAsia" w:cstheme="minorBidi"/>
          <w:b w:val="0"/>
          <w:bCs w:val="0"/>
          <w:caps w:val="0"/>
          <w:kern w:val="2"/>
          <w:sz w:val="21"/>
          <w:szCs w:val="22"/>
        </w:rPr>
      </w:pPr>
      <w:r>
        <w:fldChar w:fldCharType="begin"/>
      </w:r>
      <w:r>
        <w:instrText xml:space="preserve"> HYPERLINK \l "_Toc167352543" </w:instrText>
      </w:r>
      <w:r>
        <w:fldChar w:fldCharType="separate"/>
      </w:r>
      <w:r>
        <w:rPr>
          <w:rStyle w:val="99"/>
          <w:rFonts w:ascii="Arial" w:hAnsi="Arial" w:cs="Times New Roman"/>
        </w:rPr>
        <w:t>第一册  专用条款</w:t>
      </w:r>
      <w:r>
        <w:tab/>
      </w:r>
      <w:r>
        <w:fldChar w:fldCharType="begin"/>
      </w:r>
      <w:r>
        <w:instrText xml:space="preserve"> PAGEREF _Toc167352543 \h </w:instrText>
      </w:r>
      <w:r>
        <w:fldChar w:fldCharType="separate"/>
      </w:r>
      <w:r>
        <w:t>11</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"_Toc167352544" </w:instrText>
      </w:r>
      <w:r>
        <w:fldChar w:fldCharType="separate"/>
      </w:r>
      <w:r>
        <w:rPr>
          <w:rStyle w:val="99"/>
          <w:rFonts w:ascii="Cambria" w:hAnsi="Cambria" w:cs="Times New Roman"/>
          <w:b/>
          <w:bCs/>
          <w:kern w:val="28"/>
        </w:rPr>
        <w:t>第一章 招标公告</w:t>
      </w:r>
      <w:r>
        <w:tab/>
      </w:r>
      <w:r>
        <w:fldChar w:fldCharType="begin"/>
      </w:r>
      <w:r>
        <w:instrText xml:space="preserve"> PAGEREF _Toc167352544 \h </w:instrText>
      </w:r>
      <w:r>
        <w:fldChar w:fldCharType="separate"/>
      </w:r>
      <w:r>
        <w:t>11</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"_Toc167352552" </w:instrText>
      </w:r>
      <w:r>
        <w:fldChar w:fldCharType="separate"/>
      </w:r>
      <w:r>
        <w:rPr>
          <w:rStyle w:val="99"/>
          <w:rFonts w:ascii="Cambria" w:hAnsi="Cambria" w:cs="Times New Roman"/>
          <w:b/>
          <w:bCs/>
          <w:kern w:val="28"/>
        </w:rPr>
        <w:t>第二章 投标须知前附表</w:t>
      </w:r>
      <w:r>
        <w:tab/>
      </w:r>
      <w:r>
        <w:fldChar w:fldCharType="begin"/>
      </w:r>
      <w:r>
        <w:instrText xml:space="preserve"> PAGEREF _Toc167352552 \h </w:instrText>
      </w:r>
      <w:r>
        <w:fldChar w:fldCharType="separate"/>
      </w:r>
      <w:r>
        <w:t>15</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"_Toc167352553" </w:instrText>
      </w:r>
      <w:r>
        <w:fldChar w:fldCharType="separate"/>
      </w:r>
      <w:r>
        <w:rPr>
          <w:rStyle w:val="99"/>
          <w:rFonts w:ascii="Cambria" w:hAnsi="Cambria" w:cs="Times New Roman"/>
          <w:b/>
          <w:bCs/>
          <w:kern w:val="28"/>
        </w:rPr>
        <w:t>第三章 项目需求</w:t>
      </w:r>
      <w:r>
        <w:tab/>
      </w:r>
      <w:r>
        <w:fldChar w:fldCharType="begin"/>
      </w:r>
      <w:r>
        <w:instrText xml:space="preserve"> PAGEREF _Toc167352553 \h </w:instrText>
      </w:r>
      <w:r>
        <w:fldChar w:fldCharType="separate"/>
      </w:r>
      <w:r>
        <w:t>16</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"_Toc167352558" </w:instrText>
      </w:r>
      <w:r>
        <w:fldChar w:fldCharType="separate"/>
      </w:r>
      <w:r>
        <w:rPr>
          <w:rStyle w:val="99"/>
          <w:rFonts w:ascii="Cambria" w:hAnsi="Cambria" w:cs="Times New Roman"/>
          <w:b/>
          <w:bCs/>
          <w:kern w:val="28"/>
        </w:rPr>
        <w:t>第四章 采购合同的签订、履约及验收</w:t>
      </w:r>
      <w:r>
        <w:tab/>
      </w:r>
      <w:r>
        <w:fldChar w:fldCharType="begin"/>
      </w:r>
      <w:r>
        <w:instrText xml:space="preserve"> PAGEREF _Toc167352558 \h </w:instrText>
      </w:r>
      <w:r>
        <w:fldChar w:fldCharType="separate"/>
      </w:r>
      <w:r>
        <w:t>22</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"_Toc167352559" </w:instrText>
      </w:r>
      <w:r>
        <w:fldChar w:fldCharType="separate"/>
      </w:r>
      <w:r>
        <w:rPr>
          <w:rStyle w:val="99"/>
          <w:rFonts w:ascii="Cambria" w:hAnsi="Cambria" w:cs="Times New Roman"/>
          <w:b/>
          <w:bCs/>
          <w:kern w:val="28"/>
        </w:rPr>
        <w:t>第五章 投标文件格式、附件</w:t>
      </w:r>
      <w:r>
        <w:tab/>
      </w:r>
      <w:r>
        <w:fldChar w:fldCharType="begin"/>
      </w:r>
      <w:r>
        <w:instrText xml:space="preserve"> PAGEREF _Toc167352559 \h </w:instrText>
      </w:r>
      <w:r>
        <w:fldChar w:fldCharType="separate"/>
      </w:r>
      <w:r>
        <w:t>46</w:t>
      </w:r>
      <w:r>
        <w:fldChar w:fldCharType="end"/>
      </w:r>
      <w:r>
        <w:fldChar w:fldCharType="end"/>
      </w:r>
    </w:p>
    <w:p>
      <w:pPr>
        <w:pStyle w:val="58"/>
        <w:rPr>
          <w:rFonts w:asciiTheme="minorHAnsi" w:hAnsiTheme="minorHAnsi" w:eastAsiaTheme="minorEastAsia" w:cstheme="minorBidi"/>
          <w:b w:val="0"/>
          <w:bCs w:val="0"/>
          <w:caps w:val="0"/>
          <w:kern w:val="2"/>
          <w:sz w:val="21"/>
          <w:szCs w:val="22"/>
        </w:rPr>
      </w:pPr>
      <w:r>
        <w:fldChar w:fldCharType="begin"/>
      </w:r>
      <w:r>
        <w:instrText xml:space="preserve"> HYPERLINK \l "_Toc167352563" </w:instrText>
      </w:r>
      <w:r>
        <w:fldChar w:fldCharType="separate"/>
      </w:r>
      <w:r>
        <w:rPr>
          <w:rStyle w:val="99"/>
          <w:rFonts w:ascii="Arial" w:hAnsi="Arial" w:cs="Times New Roman"/>
        </w:rPr>
        <w:t>第二册  通用条款</w:t>
      </w:r>
      <w:r>
        <w:tab/>
      </w:r>
      <w:r>
        <w:fldChar w:fldCharType="begin"/>
      </w:r>
      <w:r>
        <w:instrText xml:space="preserve"> PAGEREF _Toc167352563 \h </w:instrText>
      </w:r>
      <w:r>
        <w:fldChar w:fldCharType="separate"/>
      </w:r>
      <w:r>
        <w:t>75</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"_Toc167352564" </w:instrText>
      </w:r>
      <w:r>
        <w:fldChar w:fldCharType="separate"/>
      </w:r>
      <w:r>
        <w:rPr>
          <w:rStyle w:val="99"/>
          <w:rFonts w:cs="Times New Roman"/>
        </w:rPr>
        <w:t>第一章 总则</w:t>
      </w:r>
      <w:r>
        <w:tab/>
      </w:r>
      <w:r>
        <w:fldChar w:fldCharType="begin"/>
      </w:r>
      <w:r>
        <w:instrText xml:space="preserve"> PAGEREF _Toc167352564 \h </w:instrText>
      </w:r>
      <w:r>
        <w:fldChar w:fldCharType="separate"/>
      </w:r>
      <w:r>
        <w:t>75</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"_Toc167352565" </w:instrText>
      </w:r>
      <w:r>
        <w:fldChar w:fldCharType="separate"/>
      </w:r>
      <w:r>
        <w:rPr>
          <w:rStyle w:val="99"/>
          <w:rFonts w:cs="Times New Roman"/>
        </w:rPr>
        <w:t>第二章 招标文件</w:t>
      </w:r>
      <w:r>
        <w:tab/>
      </w:r>
      <w:r>
        <w:fldChar w:fldCharType="begin"/>
      </w:r>
      <w:r>
        <w:instrText xml:space="preserve"> PAGEREF _Toc167352565 \h </w:instrText>
      </w:r>
      <w:r>
        <w:fldChar w:fldCharType="separate"/>
      </w:r>
      <w:r>
        <w:t>77</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"_Toc167352566" </w:instrText>
      </w:r>
      <w:r>
        <w:fldChar w:fldCharType="separate"/>
      </w:r>
      <w:r>
        <w:rPr>
          <w:rStyle w:val="99"/>
          <w:rFonts w:cs="Times New Roman"/>
        </w:rPr>
        <w:t>第三章 投标文件的编制与递交</w:t>
      </w:r>
      <w:r>
        <w:tab/>
      </w:r>
      <w:r>
        <w:fldChar w:fldCharType="begin"/>
      </w:r>
      <w:r>
        <w:instrText xml:space="preserve"> PAGEREF _Toc167352566 \h </w:instrText>
      </w:r>
      <w:r>
        <w:fldChar w:fldCharType="separate"/>
      </w:r>
      <w:r>
        <w:t>79</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"_Toc167352567" </w:instrText>
      </w:r>
      <w:r>
        <w:fldChar w:fldCharType="separate"/>
      </w:r>
      <w:r>
        <w:rPr>
          <w:rStyle w:val="99"/>
          <w:rFonts w:cs="Times New Roman"/>
        </w:rPr>
        <w:t>第四章 开标</w:t>
      </w:r>
      <w:r>
        <w:tab/>
      </w:r>
      <w:r>
        <w:fldChar w:fldCharType="begin"/>
      </w:r>
      <w:r>
        <w:instrText xml:space="preserve"> PAGEREF _Toc167352567 \h </w:instrText>
      </w:r>
      <w:r>
        <w:fldChar w:fldCharType="separate"/>
      </w:r>
      <w:r>
        <w:t>83</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"_Toc167352568" </w:instrText>
      </w:r>
      <w:r>
        <w:fldChar w:fldCharType="separate"/>
      </w:r>
      <w:r>
        <w:rPr>
          <w:rStyle w:val="99"/>
          <w:rFonts w:cs="Times New Roman"/>
        </w:rPr>
        <w:t>第五章 评标要求</w:t>
      </w:r>
      <w:r>
        <w:tab/>
      </w:r>
      <w:r>
        <w:fldChar w:fldCharType="begin"/>
      </w:r>
      <w:r>
        <w:instrText xml:space="preserve"> PAGEREF _Toc167352568 \h </w:instrText>
      </w:r>
      <w:r>
        <w:fldChar w:fldCharType="separate"/>
      </w:r>
      <w:r>
        <w:t>84</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"_Toc167352569" </w:instrText>
      </w:r>
      <w:r>
        <w:fldChar w:fldCharType="separate"/>
      </w:r>
      <w:r>
        <w:rPr>
          <w:rStyle w:val="99"/>
          <w:rFonts w:cs="Times New Roman"/>
        </w:rPr>
        <w:t>第六章 评标程序及评标方法</w:t>
      </w:r>
      <w:r>
        <w:tab/>
      </w:r>
      <w:r>
        <w:fldChar w:fldCharType="begin"/>
      </w:r>
      <w:r>
        <w:instrText xml:space="preserve"> PAGEREF _Toc167352569 \h </w:instrText>
      </w:r>
      <w:r>
        <w:fldChar w:fldCharType="separate"/>
      </w:r>
      <w:r>
        <w:t>85</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"_Toc167352570" </w:instrText>
      </w:r>
      <w:r>
        <w:fldChar w:fldCharType="separate"/>
      </w:r>
      <w:r>
        <w:rPr>
          <w:rStyle w:val="99"/>
          <w:rFonts w:cs="Times New Roman"/>
        </w:rPr>
        <w:t>第七章 定标及公示</w:t>
      </w:r>
      <w:r>
        <w:tab/>
      </w:r>
      <w:r>
        <w:fldChar w:fldCharType="begin"/>
      </w:r>
      <w:r>
        <w:instrText xml:space="preserve"> PAGEREF _Toc167352570 \h </w:instrText>
      </w:r>
      <w:r>
        <w:fldChar w:fldCharType="separate"/>
      </w:r>
      <w:r>
        <w:t>88</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"_Toc167352571" </w:instrText>
      </w:r>
      <w:r>
        <w:fldChar w:fldCharType="separate"/>
      </w:r>
      <w:r>
        <w:rPr>
          <w:rStyle w:val="99"/>
          <w:rFonts w:cs="Times New Roman"/>
        </w:rPr>
        <w:t>第八章 公开招标失败的后续处理</w:t>
      </w:r>
      <w:r>
        <w:tab/>
      </w:r>
      <w:r>
        <w:fldChar w:fldCharType="begin"/>
      </w:r>
      <w:r>
        <w:instrText xml:space="preserve"> PAGEREF _Toc167352571 \h </w:instrText>
      </w:r>
      <w:r>
        <w:fldChar w:fldCharType="separate"/>
      </w:r>
      <w:r>
        <w:t>89</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"_Toc167352572" </w:instrText>
      </w:r>
      <w:r>
        <w:fldChar w:fldCharType="separate"/>
      </w:r>
      <w:r>
        <w:rPr>
          <w:rStyle w:val="99"/>
          <w:rFonts w:cs="Times New Roman"/>
        </w:rPr>
        <w:t>第九章 合同的授予与备案</w:t>
      </w:r>
      <w:r>
        <w:tab/>
      </w:r>
      <w:r>
        <w:fldChar w:fldCharType="begin"/>
      </w:r>
      <w:r>
        <w:instrText xml:space="preserve"> PAGEREF _Toc167352572 \h </w:instrText>
      </w:r>
      <w:r>
        <w:fldChar w:fldCharType="separate"/>
      </w:r>
      <w:r>
        <w:t>92</w:t>
      </w:r>
      <w:r>
        <w:fldChar w:fldCharType="end"/>
      </w:r>
      <w:r>
        <w:fldChar w:fldCharType="end"/>
      </w:r>
    </w:p>
    <w:p>
      <w:pPr>
        <w:pStyle w:val="72"/>
        <w:ind w:left="105"/>
        <w:rPr>
          <w:rFonts w:asciiTheme="minorHAnsi" w:hAnsiTheme="minorHAnsi" w:eastAsiaTheme="minorEastAsia" w:cstheme="minorBidi"/>
          <w:smallCaps w:val="0"/>
          <w:kern w:val="2"/>
          <w:sz w:val="21"/>
          <w:szCs w:val="22"/>
        </w:rPr>
      </w:pPr>
      <w:r>
        <w:fldChar w:fldCharType="begin"/>
      </w:r>
      <w:r>
        <w:instrText xml:space="preserve"> HYPERLINK \l "_Toc167352573" </w:instrText>
      </w:r>
      <w:r>
        <w:fldChar w:fldCharType="separate"/>
      </w:r>
      <w:r>
        <w:rPr>
          <w:rStyle w:val="99"/>
          <w:rFonts w:cs="Times New Roman"/>
        </w:rPr>
        <w:t>第十章 质疑受理</w:t>
      </w:r>
      <w:r>
        <w:tab/>
      </w:r>
      <w:r>
        <w:fldChar w:fldCharType="begin"/>
      </w:r>
      <w:r>
        <w:instrText xml:space="preserve"> PAGEREF _Toc167352573 \h </w:instrText>
      </w:r>
      <w:r>
        <w:fldChar w:fldCharType="separate"/>
      </w:r>
      <w:r>
        <w:t>92</w:t>
      </w:r>
      <w:r>
        <w:fldChar w:fldCharType="end"/>
      </w:r>
      <w:r>
        <w:fldChar w:fldCharType="end"/>
      </w:r>
    </w:p>
    <w:p>
      <w:pPr>
        <w:pStyle w:val="58"/>
        <w:rPr>
          <w:rFonts w:asciiTheme="minorHAnsi" w:hAnsiTheme="minorHAnsi" w:eastAsiaTheme="minorEastAsia" w:cstheme="minorBidi"/>
          <w:b w:val="0"/>
          <w:bCs w:val="0"/>
          <w:caps w:val="0"/>
          <w:kern w:val="2"/>
          <w:sz w:val="21"/>
          <w:szCs w:val="22"/>
        </w:rPr>
      </w:pPr>
      <w:r>
        <w:fldChar w:fldCharType="begin"/>
      </w:r>
      <w:r>
        <w:instrText xml:space="preserve"> HYPERLINK \l "_Toc167352574" </w:instrText>
      </w:r>
      <w:r>
        <w:fldChar w:fldCharType="separate"/>
      </w:r>
      <w:r>
        <w:rPr>
          <w:rStyle w:val="99"/>
          <w:rFonts w:ascii="Arial" w:hAnsi="Arial" w:cs="Times New Roman"/>
        </w:rPr>
        <w:t>招标代理服务取费说明</w:t>
      </w:r>
      <w:r>
        <w:tab/>
      </w:r>
      <w:r>
        <w:fldChar w:fldCharType="begin"/>
      </w:r>
      <w:r>
        <w:instrText xml:space="preserve"> PAGEREF _Toc167352574 \h </w:instrText>
      </w:r>
      <w:r>
        <w:fldChar w:fldCharType="separate"/>
      </w:r>
      <w:r>
        <w:t>95</w:t>
      </w:r>
      <w:r>
        <w:fldChar w:fldCharType="end"/>
      </w:r>
      <w:r>
        <w:fldChar w:fldCharType="end"/>
      </w:r>
    </w:p>
    <w:p>
      <w:pPr>
        <w:widowControl/>
        <w:shd w:val="clear" w:color="auto" w:fill="FFFFFF"/>
        <w:tabs>
          <w:tab w:val="right" w:leader="dot" w:pos="8820"/>
          <w:tab w:val="right" w:leader="dot" w:pos="9240"/>
        </w:tabs>
        <w:adjustRightInd w:val="0"/>
        <w:snapToGrid w:val="0"/>
        <w:spacing w:line="360" w:lineRule="auto"/>
        <w:rPr>
          <w:rFonts w:ascii="宋体" w:hAnsi="Times New Roman" w:eastAsia="宋体" w:cs="宋体"/>
          <w:kern w:val="0"/>
          <w:szCs w:val="24"/>
        </w:rPr>
        <w:sectPr>
          <w:footerReference r:id="rId3" w:type="even"/>
          <w:pgSz w:w="11906" w:h="16838"/>
          <w:pgMar w:top="1134" w:right="1700" w:bottom="1134" w:left="1418" w:header="851" w:footer="992" w:gutter="0"/>
          <w:pgNumType w:start="0"/>
          <w:cols w:space="720" w:num="1"/>
          <w:titlePg/>
          <w:docGrid w:linePitch="462" w:charSpace="0"/>
        </w:sectPr>
      </w:pPr>
      <w:r>
        <w:rPr>
          <w:rFonts w:ascii="宋体" w:hAnsi="Times New Roman" w:eastAsia="宋体" w:cs="宋体"/>
          <w:smallCaps/>
          <w:kern w:val="0"/>
          <w:sz w:val="28"/>
          <w:szCs w:val="24"/>
        </w:rPr>
        <w:fldChar w:fldCharType="end"/>
      </w:r>
    </w:p>
    <w:p>
      <w:pPr>
        <w:spacing w:before="240" w:after="60" w:line="312" w:lineRule="auto"/>
        <w:jc w:val="center"/>
        <w:outlineLvl w:val="0"/>
        <w:rPr>
          <w:rFonts w:ascii="宋体" w:hAnsi="Cambria" w:eastAsia="宋体" w:cs="Times New Roman"/>
          <w:b/>
          <w:kern w:val="28"/>
          <w:sz w:val="36"/>
          <w:szCs w:val="36"/>
        </w:rPr>
      </w:pPr>
      <w:bookmarkStart w:id="0" w:name="_Toc167352539"/>
      <w:bookmarkStart w:id="1" w:name="_Toc432592808"/>
      <w:r>
        <w:rPr>
          <w:rFonts w:hint="eastAsia" w:ascii="宋体" w:hAnsi="Cambria" w:eastAsia="宋体" w:cs="Times New Roman"/>
          <w:b/>
          <w:kern w:val="28"/>
          <w:sz w:val="36"/>
          <w:szCs w:val="36"/>
        </w:rPr>
        <w:t>项目关键信息</w:t>
      </w:r>
      <w:bookmarkEnd w:id="0"/>
      <w:bookmarkEnd w:id="1"/>
    </w:p>
    <w:tbl>
      <w:tblPr>
        <w:tblStyle w:val="8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1"/>
              </w:rPr>
              <w:t>项目编号</w:t>
            </w:r>
          </w:p>
        </w:tc>
        <w:tc>
          <w:tcPr>
            <w:tcW w:w="6152"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1"/>
              </w:rPr>
              <w:t>SSZX2024-440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1"/>
              </w:rPr>
              <w:t>项目名称</w:t>
            </w:r>
          </w:p>
        </w:tc>
        <w:tc>
          <w:tcPr>
            <w:tcW w:w="6152"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1"/>
              </w:rPr>
              <w:t>2025-2026年度电梯维保服务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1"/>
              </w:rPr>
            </w:pPr>
            <w:r>
              <w:rPr>
                <w:rFonts w:ascii="宋体" w:hAnsi="Times New Roman" w:eastAsia="宋体" w:cs="宋体"/>
                <w:kern w:val="0"/>
                <w:szCs w:val="21"/>
              </w:rPr>
              <w:t>项目类型</w:t>
            </w:r>
          </w:p>
        </w:tc>
        <w:tc>
          <w:tcPr>
            <w:tcW w:w="6152"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1"/>
              </w:rPr>
            </w:pPr>
            <w:r>
              <w:rPr>
                <w:rFonts w:ascii="宋体" w:hAnsi="Times New Roman" w:eastAsia="宋体" w:cs="宋体"/>
                <w:kern w:val="0"/>
                <w:szCs w:val="21"/>
              </w:rPr>
              <w:t>采购方式</w:t>
            </w:r>
          </w:p>
        </w:tc>
        <w:tc>
          <w:tcPr>
            <w:tcW w:w="6152"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1"/>
              </w:rPr>
            </w:pPr>
            <w:r>
              <w:rPr>
                <w:rFonts w:ascii="宋体" w:hAnsi="Times New Roman" w:eastAsia="宋体" w:cs="宋体"/>
                <w:kern w:val="0"/>
                <w:szCs w:val="21"/>
              </w:rPr>
              <w:t>货币类型</w:t>
            </w:r>
          </w:p>
        </w:tc>
        <w:tc>
          <w:tcPr>
            <w:tcW w:w="6152" w:type="dxa"/>
            <w:vAlign w:val="center"/>
          </w:tcPr>
          <w:p>
            <w:pPr>
              <w:widowControl/>
              <w:shd w:val="clear" w:color="auto" w:fill="FFFFFF"/>
              <w:rPr>
                <w:rFonts w:ascii="宋体" w:hAnsi="Times New Roman" w:eastAsia="宋体" w:cs="宋体"/>
                <w:kern w:val="0"/>
                <w:szCs w:val="21"/>
              </w:rPr>
            </w:pPr>
            <w:r>
              <w:rPr>
                <w:rFonts w:ascii="宋体" w:hAnsi="Times New Roman" w:eastAsia="宋体" w:cs="宋体"/>
                <w:kern w:val="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1"/>
              </w:rPr>
              <w:t>预算限额</w:t>
            </w:r>
          </w:p>
        </w:tc>
        <w:tc>
          <w:tcPr>
            <w:tcW w:w="6152" w:type="dxa"/>
            <w:vAlign w:val="center"/>
          </w:tcPr>
          <w:p>
            <w:pPr>
              <w:widowControl/>
              <w:shd w:val="clear" w:color="auto" w:fill="FFFFFF"/>
              <w:rPr>
                <w:rFonts w:ascii="宋体" w:hAnsi="Times New Roman" w:eastAsia="宋体" w:cs="宋体"/>
                <w:bCs/>
                <w:kern w:val="0"/>
                <w:szCs w:val="21"/>
              </w:rPr>
            </w:pPr>
            <w:r>
              <w:rPr>
                <w:rFonts w:hint="eastAsia" w:ascii="宋体" w:hAnsi="Times New Roman" w:eastAsia="宋体" w:cs="宋体"/>
                <w:kern w:val="0"/>
                <w:szCs w:val="21"/>
              </w:rPr>
              <w:t>￥460200.00</w:t>
            </w:r>
            <w:r>
              <w:rPr>
                <w:rFonts w:hint="eastAsia" w:ascii="宋体" w:hAnsi="Times New Roman" w:eastAsia="宋体" w:cs="宋体"/>
                <w:bCs/>
                <w:kern w:val="0"/>
                <w:szCs w:val="21"/>
              </w:rPr>
              <w:t>（人民币肆拾陆万零贰佰元整）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评定分离</w:t>
            </w:r>
          </w:p>
        </w:tc>
        <w:tc>
          <w:tcPr>
            <w:tcW w:w="6152"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bCs/>
                <w:kern w:val="0"/>
                <w:szCs w:val="21"/>
              </w:rPr>
            </w:pPr>
            <w:r>
              <w:rPr>
                <w:rFonts w:hint="eastAsia" w:ascii="宋体" w:hAnsi="Times New Roman" w:eastAsia="宋体" w:cs="宋体"/>
                <w:bCs/>
                <w:kern w:val="0"/>
                <w:szCs w:val="21"/>
              </w:rPr>
              <w:t>评标方法</w:t>
            </w:r>
          </w:p>
        </w:tc>
        <w:tc>
          <w:tcPr>
            <w:tcW w:w="6152"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4"/>
              </w:rPr>
              <w:t>■</w:t>
            </w:r>
            <w:r>
              <w:rPr>
                <w:rFonts w:hint="eastAsia" w:ascii="宋体" w:hAnsi="Times New Roman" w:eastAsia="宋体" w:cs="宋体"/>
                <w:kern w:val="0"/>
                <w:szCs w:val="21"/>
              </w:rPr>
              <w:t xml:space="preserve">综合评分法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bCs/>
                <w:kern w:val="0"/>
                <w:szCs w:val="21"/>
              </w:rPr>
            </w:pPr>
            <w:r>
              <w:rPr>
                <w:rFonts w:hint="eastAsia" w:ascii="宋体" w:hAnsi="Times New Roman" w:eastAsia="宋体" w:cs="宋体"/>
                <w:bCs/>
                <w:kern w:val="0"/>
                <w:szCs w:val="21"/>
              </w:rPr>
              <w:t>定标方法</w:t>
            </w:r>
          </w:p>
        </w:tc>
        <w:tc>
          <w:tcPr>
            <w:tcW w:w="6152"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投标供应商的替代方案</w:t>
            </w:r>
          </w:p>
        </w:tc>
        <w:tc>
          <w:tcPr>
            <w:tcW w:w="6152" w:type="dxa"/>
            <w:vAlign w:val="center"/>
          </w:tcPr>
          <w:p>
            <w:pPr>
              <w:widowControl/>
              <w:shd w:val="clear" w:color="auto" w:fill="FFFFFF"/>
              <w:rPr>
                <w:rFonts w:ascii="宋体" w:hAnsi="Times New Roman" w:eastAsia="宋体" w:cs="宋体"/>
                <w:kern w:val="0"/>
                <w:szCs w:val="24"/>
                <w:u w:val="single"/>
              </w:rPr>
            </w:pPr>
            <w:r>
              <w:rPr>
                <w:rFonts w:hint="eastAsia" w:ascii="宋体" w:hAnsi="Times New Roman" w:eastAsia="宋体" w:cs="宋体"/>
                <w:kern w:val="0"/>
                <w:szCs w:val="21"/>
              </w:rPr>
              <w:t xml:space="preserve">不允许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投标有效期</w:t>
            </w:r>
          </w:p>
        </w:tc>
        <w:tc>
          <w:tcPr>
            <w:tcW w:w="6152" w:type="dxa"/>
            <w:vAlign w:val="center"/>
          </w:tcPr>
          <w:p>
            <w:pPr>
              <w:widowControl/>
              <w:shd w:val="clear" w:color="auto" w:fill="FFFFFF"/>
              <w:rPr>
                <w:rFonts w:ascii="宋体" w:hAnsi="Times New Roman" w:eastAsia="宋体" w:cs="宋体"/>
                <w:kern w:val="0"/>
                <w:szCs w:val="21"/>
              </w:rPr>
            </w:pPr>
            <w:r>
              <w:rPr>
                <w:rFonts w:hint="eastAsia" w:ascii="宋体" w:hAnsi="Times New Roman" w:eastAsia="宋体" w:cs="宋体"/>
                <w:kern w:val="0"/>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2376"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投标保证金</w:t>
            </w:r>
          </w:p>
        </w:tc>
        <w:tc>
          <w:tcPr>
            <w:tcW w:w="6152"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376"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履约担保金额</w:t>
            </w:r>
          </w:p>
        </w:tc>
        <w:tc>
          <w:tcPr>
            <w:tcW w:w="6152"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■不</w:t>
            </w:r>
            <w:r>
              <w:rPr>
                <w:rFonts w:ascii="宋体" w:hAnsi="Times New Roman" w:eastAsia="宋体" w:cs="宋体"/>
                <w:kern w:val="0"/>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投标文件份数</w:t>
            </w:r>
          </w:p>
        </w:tc>
        <w:tc>
          <w:tcPr>
            <w:tcW w:w="6152"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投标文件电子档</w:t>
            </w:r>
          </w:p>
        </w:tc>
        <w:tc>
          <w:tcPr>
            <w:tcW w:w="6152"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电子光盘一张或U盘一个（WORD及投标文件正本盖章后的彩色扫描件，PDF格式）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是否为长期服务项目</w:t>
            </w:r>
          </w:p>
        </w:tc>
        <w:tc>
          <w:tcPr>
            <w:tcW w:w="6152"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是</w:t>
            </w:r>
          </w:p>
        </w:tc>
      </w:tr>
    </w:tbl>
    <w:p>
      <w:pPr>
        <w:ind w:left="3040" w:hanging="3040" w:hangingChars="950"/>
        <w:rPr>
          <w:rFonts w:ascii="宋体" w:hAnsi="Times New Roman" w:eastAsia="宋体" w:cs="Times New Roman"/>
          <w:sz w:val="32"/>
          <w:szCs w:val="20"/>
        </w:rPr>
      </w:pPr>
    </w:p>
    <w:p>
      <w:pPr>
        <w:spacing w:before="240" w:after="60" w:line="312" w:lineRule="auto"/>
        <w:jc w:val="center"/>
        <w:outlineLvl w:val="0"/>
        <w:rPr>
          <w:rFonts w:ascii="宋体" w:hAnsi="Cambria" w:eastAsia="宋体" w:cs="Times New Roman"/>
          <w:b/>
          <w:kern w:val="28"/>
          <w:sz w:val="36"/>
          <w:szCs w:val="36"/>
        </w:rPr>
      </w:pPr>
      <w:r>
        <w:rPr>
          <w:rFonts w:ascii="Cambria" w:hAnsi="Cambria" w:eastAsia="宋体" w:cs="Times New Roman"/>
          <w:b/>
          <w:bCs/>
          <w:kern w:val="28"/>
          <w:sz w:val="28"/>
          <w:szCs w:val="32"/>
        </w:rPr>
        <w:br w:type="page"/>
      </w:r>
      <w:bookmarkStart w:id="2" w:name="_Toc167352540"/>
      <w:r>
        <w:rPr>
          <w:rFonts w:hint="eastAsia" w:ascii="宋体" w:hAnsi="Cambria" w:eastAsia="宋体" w:cs="Times New Roman"/>
          <w:b/>
          <w:kern w:val="28"/>
          <w:sz w:val="36"/>
          <w:szCs w:val="36"/>
        </w:rPr>
        <w:t>资格、符合性评审条款</w:t>
      </w:r>
      <w:bookmarkEnd w:id="2"/>
    </w:p>
    <w:p>
      <w:pPr>
        <w:widowControl/>
        <w:shd w:val="clear" w:color="auto" w:fill="FFFFFF"/>
        <w:adjustRightInd w:val="0"/>
        <w:snapToGrid w:val="0"/>
        <w:spacing w:before="120" w:beforeLines="50" w:after="120" w:afterLines="50" w:line="360" w:lineRule="auto"/>
        <w:jc w:val="center"/>
        <w:rPr>
          <w:rFonts w:ascii="黑体" w:hAnsi="Times New Roman" w:eastAsia="黑体" w:cs="宋体"/>
          <w:kern w:val="0"/>
          <w:sz w:val="28"/>
          <w:szCs w:val="28"/>
        </w:rPr>
      </w:pPr>
      <w:r>
        <w:rPr>
          <w:rFonts w:hint="eastAsia" w:ascii="宋体" w:hAnsi="Times New Roman" w:eastAsia="宋体" w:cs="宋体"/>
          <w:b/>
          <w:kern w:val="0"/>
          <w:szCs w:val="24"/>
        </w:rPr>
        <w:t>（凡有下列情形之一的，投标文件无效，投标作无效标处理</w:t>
      </w:r>
      <w:r>
        <w:rPr>
          <w:rFonts w:hint="eastAsia" w:ascii="黑体" w:hAnsi="Times New Roman" w:eastAsia="黑体" w:cs="宋体"/>
          <w:kern w:val="0"/>
          <w:szCs w:val="21"/>
        </w:rPr>
        <w:t>）</w:t>
      </w:r>
    </w:p>
    <w:tbl>
      <w:tblPr>
        <w:tblStyle w:val="8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b/>
                <w:kern w:val="0"/>
                <w:szCs w:val="24"/>
              </w:rPr>
              <w:t>序号</w:t>
            </w:r>
          </w:p>
        </w:tc>
        <w:tc>
          <w:tcPr>
            <w:tcW w:w="7883" w:type="dxa"/>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b/>
                <w:kern w:val="0"/>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kern w:val="0"/>
                <w:szCs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widowControl/>
              <w:numPr>
                <w:ilvl w:val="0"/>
                <w:numId w:val="32"/>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投标供应商不具备招标资质要求，或未提交相应资质证明材料；(详见招标公告“申请人的资格要求”，其中未列示的资格要求不得导致废标。)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8528" w:type="dxa"/>
            <w:gridSpan w:val="2"/>
            <w:vAlign w:val="center"/>
          </w:tcPr>
          <w:p>
            <w:pPr>
              <w:widowControl/>
              <w:shd w:val="clear" w:color="auto" w:fill="FFFFFF"/>
              <w:jc w:val="center"/>
              <w:rPr>
                <w:rFonts w:ascii="宋体" w:hAnsi="Times New Roman" w:eastAsia="宋体" w:cs="宋体"/>
                <w:kern w:val="0"/>
                <w:szCs w:val="24"/>
              </w:rPr>
            </w:pPr>
            <w:r>
              <w:rPr>
                <w:rFonts w:hint="eastAsia" w:ascii="宋体" w:hAnsi="Times New Roman" w:eastAsia="宋体" w:cs="宋体"/>
                <w:kern w:val="0"/>
                <w:szCs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ascii="宋体" w:hAnsi="Times New Roman" w:eastAsia="宋体" w:cs="宋体"/>
                <w:kern w:val="0"/>
                <w:szCs w:val="21"/>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未按招标文件所提供的样式填写</w:t>
            </w:r>
            <w:r>
              <w:rPr>
                <w:rFonts w:ascii="宋体" w:hAnsi="Times New Roman" w:eastAsia="宋体" w:cs="宋体"/>
                <w:kern w:val="0"/>
                <w:szCs w:val="24"/>
              </w:rPr>
              <w:t>《</w:t>
            </w:r>
            <w:r>
              <w:rPr>
                <w:rFonts w:hint="eastAsia" w:ascii="宋体" w:hAnsi="Times New Roman" w:eastAsia="宋体" w:cs="宋体"/>
                <w:kern w:val="0"/>
                <w:szCs w:val="24"/>
              </w:rPr>
              <w:t>投标函》；未按招标文件所提供的《投标及履约承诺函》进行承诺；未按招标文件所提供的样式填写《保密承诺书》、</w:t>
            </w:r>
            <w:r>
              <w:rPr>
                <w:rFonts w:ascii="宋体" w:hAnsi="Times New Roman" w:eastAsia="宋体" w:cs="宋体"/>
                <w:kern w:val="0"/>
                <w:szCs w:val="24"/>
              </w:rPr>
              <w:t>《</w:t>
            </w:r>
            <w:r>
              <w:rPr>
                <w:rFonts w:hint="eastAsia" w:ascii="宋体" w:hAnsi="Times New Roman" w:eastAsia="宋体" w:cs="宋体"/>
                <w:kern w:val="0"/>
                <w:szCs w:val="24"/>
              </w:rPr>
              <w:t>廉政承诺书》；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b/>
                <w:bCs/>
                <w:kern w:val="0"/>
                <w:szCs w:val="24"/>
              </w:rPr>
            </w:pPr>
            <w:r>
              <w:rPr>
                <w:rFonts w:hint="eastAsia" w:ascii="宋体" w:hAnsi="Times New Roman" w:eastAsia="宋体" w:cs="宋体"/>
                <w:kern w:val="0"/>
                <w:szCs w:val="24"/>
              </w:rPr>
              <w:t>投标总价或分项报价高于财政预算限额</w:t>
            </w:r>
            <w:r>
              <w:rPr>
                <w:rFonts w:ascii="宋体" w:hAnsi="Times New Roman" w:eastAsia="宋体" w:cs="宋体"/>
                <w:kern w:val="0"/>
                <w:szCs w:val="21"/>
              </w:rPr>
              <w:t>（最高投标限价）</w:t>
            </w:r>
            <w:r>
              <w:rPr>
                <w:rFonts w:hint="eastAsia" w:ascii="宋体" w:hAnsi="Times New Roman" w:eastAsia="宋体" w:cs="宋体"/>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ascii="宋体" w:hAnsi="Times New Roman" w:eastAsia="宋体" w:cs="宋体"/>
                <w:kern w:val="0"/>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投标报价有严重缺漏项目或对招标文件规定的服务清单项目及数量进行修改或采购标的响应不全；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numPr>
                <w:ilvl w:val="0"/>
                <w:numId w:val="33"/>
              </w:numPr>
              <w:shd w:val="clear" w:color="auto" w:fill="FFFFFF"/>
              <w:tabs>
                <w:tab w:val="left" w:pos="426"/>
              </w:tabs>
              <w:adjustRightInd w:val="0"/>
              <w:snapToGrid w:val="0"/>
              <w:ind w:left="0" w:firstLine="0"/>
              <w:jc w:val="center"/>
              <w:rPr>
                <w:rFonts w:ascii="宋体" w:hAnsi="Times New Roman" w:eastAsia="宋体" w:cs="宋体"/>
                <w:kern w:val="0"/>
                <w:szCs w:val="24"/>
              </w:rPr>
            </w:pPr>
          </w:p>
        </w:tc>
        <w:tc>
          <w:tcPr>
            <w:tcW w:w="7883"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法律、法规规定的属于投标无效的其他情形。</w:t>
            </w:r>
          </w:p>
        </w:tc>
      </w:tr>
    </w:tbl>
    <w:p>
      <w:pPr>
        <w:spacing w:before="240" w:after="60" w:line="312" w:lineRule="auto"/>
        <w:ind w:firstLine="422"/>
        <w:rPr>
          <w:rFonts w:ascii="Cambria" w:hAnsi="Cambria" w:eastAsia="宋体" w:cs="Times New Roman"/>
          <w:b/>
          <w:bCs/>
          <w:kern w:val="28"/>
          <w:szCs w:val="21"/>
        </w:rPr>
      </w:pPr>
    </w:p>
    <w:p>
      <w:pPr>
        <w:spacing w:before="240" w:after="60" w:line="312" w:lineRule="auto"/>
        <w:jc w:val="center"/>
        <w:outlineLvl w:val="0"/>
        <w:rPr>
          <w:rFonts w:ascii="宋体" w:hAnsi="Cambria" w:eastAsia="宋体" w:cs="Times New Roman"/>
          <w:b/>
          <w:kern w:val="28"/>
          <w:sz w:val="36"/>
          <w:szCs w:val="36"/>
        </w:rPr>
      </w:pPr>
      <w:r>
        <w:rPr>
          <w:rFonts w:ascii="Cambria" w:hAnsi="Cambria" w:eastAsia="宋体" w:cs="Times New Roman"/>
          <w:b/>
          <w:bCs/>
          <w:kern w:val="28"/>
          <w:sz w:val="24"/>
          <w:szCs w:val="32"/>
        </w:rPr>
        <w:br w:type="page"/>
      </w:r>
      <w:bookmarkStart w:id="3" w:name="_Toc167352541"/>
      <w:bookmarkStart w:id="4" w:name="_Toc435514846"/>
      <w:r>
        <w:rPr>
          <w:rFonts w:hint="eastAsia" w:ascii="宋体" w:hAnsi="Cambria" w:eastAsia="宋体" w:cs="Times New Roman"/>
          <w:b/>
          <w:kern w:val="28"/>
          <w:sz w:val="36"/>
          <w:szCs w:val="36"/>
        </w:rPr>
        <w:t>评标信息</w:t>
      </w:r>
      <w:bookmarkEnd w:id="3"/>
    </w:p>
    <w:bookmarkEnd w:id="4"/>
    <w:p>
      <w:pPr>
        <w:spacing w:line="300" w:lineRule="auto"/>
        <w:ind w:firstLine="422" w:firstLineChars="200"/>
        <w:rPr>
          <w:rFonts w:ascii="宋体" w:hAnsi="Times New Roman" w:eastAsia="宋体" w:cs="宋体"/>
          <w:b/>
          <w:kern w:val="0"/>
          <w:szCs w:val="21"/>
        </w:rPr>
      </w:pPr>
      <w:r>
        <w:rPr>
          <w:rFonts w:hint="eastAsia" w:ascii="宋体" w:hAnsi="Times New Roman" w:eastAsia="宋体" w:cs="宋体"/>
          <w:b/>
          <w:kern w:val="0"/>
          <w:szCs w:val="21"/>
        </w:rPr>
        <w:t>本招标文件所述评标方法和定标方法与招标文件《通用条款》所述不一致之处，以以下方法为准。</w:t>
      </w:r>
    </w:p>
    <w:p>
      <w:pPr>
        <w:spacing w:line="300" w:lineRule="auto"/>
        <w:ind w:firstLine="422" w:firstLineChars="200"/>
        <w:rPr>
          <w:rFonts w:ascii="宋体" w:hAnsi="Times New Roman" w:eastAsia="宋体" w:cs="宋体"/>
          <w:b/>
          <w:kern w:val="0"/>
          <w:szCs w:val="21"/>
        </w:rPr>
      </w:pPr>
      <w:r>
        <w:rPr>
          <w:rFonts w:hint="eastAsia" w:ascii="宋体" w:hAnsi="Times New Roman" w:eastAsia="宋体" w:cs="宋体"/>
          <w:b/>
          <w:kern w:val="0"/>
          <w:szCs w:val="21"/>
        </w:rPr>
        <w:t>一、</w:t>
      </w:r>
      <w:r>
        <w:rPr>
          <w:rFonts w:ascii="宋体" w:hAnsi="Times New Roman" w:eastAsia="宋体" w:cs="宋体"/>
          <w:b/>
          <w:kern w:val="0"/>
          <w:szCs w:val="21"/>
        </w:rPr>
        <w:t>本项目</w:t>
      </w:r>
      <w:r>
        <w:rPr>
          <w:rFonts w:hint="eastAsia" w:ascii="宋体" w:hAnsi="Times New Roman" w:eastAsia="宋体" w:cs="宋体"/>
          <w:b/>
          <w:kern w:val="0"/>
          <w:szCs w:val="21"/>
        </w:rPr>
        <w:t>评标方法为</w:t>
      </w:r>
      <w:r>
        <w:rPr>
          <w:rFonts w:ascii="宋体" w:hAnsi="Times New Roman" w:eastAsia="宋体" w:cs="宋体"/>
          <w:b/>
          <w:kern w:val="0"/>
          <w:szCs w:val="21"/>
        </w:rPr>
        <w:t>：</w:t>
      </w:r>
      <w:r>
        <w:rPr>
          <w:rFonts w:hint="eastAsia" w:ascii="宋体" w:hAnsi="Times New Roman" w:eastAsia="宋体" w:cs="宋体"/>
          <w:b/>
          <w:kern w:val="0"/>
          <w:szCs w:val="21"/>
        </w:rPr>
        <w:t>综合评分法</w:t>
      </w:r>
    </w:p>
    <w:p>
      <w:pPr>
        <w:spacing w:line="300" w:lineRule="auto"/>
        <w:ind w:firstLine="422" w:firstLineChars="200"/>
        <w:rPr>
          <w:rFonts w:ascii="宋体" w:hAnsi="Times New Roman" w:eastAsia="宋体" w:cs="宋体"/>
          <w:b/>
          <w:bCs/>
          <w:kern w:val="0"/>
          <w:szCs w:val="21"/>
        </w:rPr>
      </w:pPr>
      <w:r>
        <w:rPr>
          <w:rFonts w:ascii="宋体" w:hAnsi="Times New Roman" w:eastAsia="宋体" w:cs="宋体"/>
          <w:b/>
          <w:bCs/>
          <w:kern w:val="0"/>
          <w:szCs w:val="21"/>
        </w:rPr>
        <w:t>中标人数量为：1家</w:t>
      </w:r>
      <w:r>
        <w:rPr>
          <w:rFonts w:hint="eastAsia" w:ascii="宋体" w:hAnsi="Times New Roman" w:eastAsia="宋体" w:cs="宋体"/>
          <w:b/>
          <w:bCs/>
          <w:kern w:val="0"/>
          <w:szCs w:val="21"/>
        </w:rPr>
        <w:t>；中标候选人数量为：</w:t>
      </w:r>
      <w:r>
        <w:rPr>
          <w:rFonts w:ascii="宋体" w:hAnsi="Times New Roman" w:eastAsia="宋体" w:cs="宋体"/>
          <w:b/>
          <w:bCs/>
          <w:kern w:val="0"/>
          <w:szCs w:val="21"/>
        </w:rPr>
        <w:t>3</w:t>
      </w:r>
      <w:r>
        <w:rPr>
          <w:rFonts w:hint="eastAsia" w:ascii="宋体" w:hAnsi="Times New Roman" w:eastAsia="宋体" w:cs="宋体"/>
          <w:b/>
          <w:bCs/>
          <w:kern w:val="0"/>
          <w:szCs w:val="21"/>
        </w:rPr>
        <w:t>家。</w:t>
      </w:r>
    </w:p>
    <w:p>
      <w:pPr>
        <w:spacing w:line="30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综合评分法，是指投标文件满足招标文件全部实质性要求，且按照评审因素的量化指标评审得分最高的投标人为候选中标人的评标方法。</w:t>
      </w:r>
    </w:p>
    <w:p>
      <w:pPr>
        <w:spacing w:line="30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w:t>
      </w:r>
      <w:r>
        <w:rPr>
          <w:rFonts w:hint="eastAsia" w:ascii="宋体" w:hAnsi="Times New Roman" w:eastAsia="宋体" w:cs="宋体"/>
          <w:bCs/>
          <w:kern w:val="0"/>
          <w:szCs w:val="21"/>
        </w:rPr>
        <w:t>。经采购人同意后，确定排名第一的</w:t>
      </w:r>
      <w:r>
        <w:rPr>
          <w:rFonts w:hint="eastAsia" w:ascii="宋体" w:hAnsi="Times New Roman" w:eastAsia="宋体" w:cs="宋体"/>
          <w:kern w:val="0"/>
          <w:szCs w:val="21"/>
        </w:rPr>
        <w:t>中标候选人</w:t>
      </w:r>
      <w:r>
        <w:rPr>
          <w:rFonts w:hint="eastAsia" w:ascii="宋体" w:hAnsi="Times New Roman" w:eastAsia="宋体" w:cs="宋体"/>
          <w:bCs/>
          <w:kern w:val="0"/>
          <w:szCs w:val="21"/>
        </w:rPr>
        <w:t>为中标人。</w:t>
      </w:r>
    </w:p>
    <w:p>
      <w:pPr>
        <w:widowControl/>
        <w:shd w:val="clear" w:color="auto" w:fill="FFFFFF"/>
        <w:adjustRightInd w:val="0"/>
        <w:snapToGrid w:val="0"/>
        <w:spacing w:line="300" w:lineRule="auto"/>
        <w:ind w:firstLine="420" w:firstLineChars="200"/>
        <w:rPr>
          <w:rFonts w:ascii="宋体" w:hAnsi="Times New Roman" w:eastAsia="宋体" w:cs="Times New Roman"/>
          <w:bCs/>
          <w:szCs w:val="21"/>
        </w:rPr>
      </w:pPr>
      <w:r>
        <w:rPr>
          <w:rFonts w:hint="eastAsia" w:ascii="宋体" w:hAnsi="Times New Roman" w:eastAsia="宋体" w:cs="宋体"/>
          <w:kern w:val="0"/>
          <w:szCs w:val="21"/>
        </w:rPr>
        <w:t>候选中标人按评审后得分由高到低顺序排列；得分相同的，按投标报价由低到高顺序排列；得分且投标报价相同的，按技术指标或服务方案优劣顺序排列。得分且投标报价相同的且技术指标或服务方案优劣相同的，</w:t>
      </w:r>
      <w:r>
        <w:rPr>
          <w:rFonts w:ascii="宋体" w:hAnsi="Times New Roman" w:eastAsia="宋体" w:cs="Times New Roman"/>
          <w:bCs/>
          <w:szCs w:val="21"/>
        </w:rPr>
        <w:t>采取随机抽取方式确定</w:t>
      </w:r>
      <w:r>
        <w:rPr>
          <w:rFonts w:hint="eastAsia" w:ascii="宋体" w:hAnsi="Times New Roman" w:eastAsia="宋体" w:cs="Times New Roman"/>
          <w:bCs/>
          <w:szCs w:val="21"/>
        </w:rPr>
        <w:t>候选中标人</w:t>
      </w:r>
      <w:r>
        <w:rPr>
          <w:rFonts w:ascii="宋体" w:hAnsi="Times New Roman" w:eastAsia="宋体" w:cs="Times New Roman"/>
          <w:bCs/>
          <w:szCs w:val="21"/>
        </w:rPr>
        <w:t>推荐资格</w:t>
      </w:r>
      <w:r>
        <w:rPr>
          <w:rFonts w:hint="eastAsia" w:ascii="宋体" w:hAnsi="Times New Roman" w:eastAsia="宋体" w:cs="Times New Roman"/>
          <w:bCs/>
          <w:szCs w:val="21"/>
        </w:rPr>
        <w:t>。</w:t>
      </w:r>
    </w:p>
    <w:p>
      <w:pPr>
        <w:widowControl/>
        <w:shd w:val="clear" w:color="auto" w:fill="FFFFFF"/>
        <w:adjustRightInd w:val="0"/>
        <w:snapToGrid w:val="0"/>
        <w:spacing w:line="30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spacing w:line="300" w:lineRule="auto"/>
        <w:ind w:firstLine="422" w:firstLineChars="200"/>
        <w:rPr>
          <w:rFonts w:ascii="宋体" w:hAnsi="Times New Roman" w:eastAsia="宋体" w:cs="宋体"/>
          <w:b/>
          <w:kern w:val="0"/>
          <w:szCs w:val="21"/>
        </w:rPr>
      </w:pPr>
      <w:r>
        <w:rPr>
          <w:rFonts w:hint="eastAsia" w:ascii="宋体" w:hAnsi="Times New Roman" w:eastAsia="宋体" w:cs="宋体"/>
          <w:b/>
          <w:kern w:val="0"/>
          <w:szCs w:val="21"/>
        </w:rPr>
        <w:t>二、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spacing w:line="300" w:lineRule="auto"/>
        <w:ind w:firstLine="422" w:firstLineChars="200"/>
        <w:rPr>
          <w:rFonts w:ascii="宋体" w:hAnsi="Times New Roman" w:eastAsia="宋体" w:cs="宋体"/>
          <w:b/>
          <w:kern w:val="0"/>
          <w:szCs w:val="21"/>
        </w:rPr>
      </w:pPr>
      <w:r>
        <w:rPr>
          <w:rFonts w:hint="eastAsia" w:ascii="宋体" w:hAnsi="Times New Roman" w:eastAsia="宋体" w:cs="宋体"/>
          <w:b/>
          <w:kern w:val="0"/>
          <w:szCs w:val="21"/>
        </w:rPr>
        <w:t>三、公开招标的货物、服务采购项目，招标过程中提交投标文件或者经评审实质性响应招标文件要求的供应商只有两家时，经评审委员会审核采购文件无歧视性、排他性等不合理条款，可现场直接转为与该两家供应商进行竞争性谈判采购。（《深圳海关非政府采购管理办法》第二十七条）</w:t>
      </w:r>
    </w:p>
    <w:p>
      <w:pPr>
        <w:spacing w:line="300" w:lineRule="auto"/>
        <w:ind w:firstLine="422" w:firstLineChars="200"/>
        <w:rPr>
          <w:rFonts w:ascii="宋体" w:hAnsi="Times New Roman" w:eastAsia="宋体" w:cs="宋体"/>
          <w:b/>
          <w:kern w:val="0"/>
          <w:szCs w:val="21"/>
        </w:rPr>
      </w:pPr>
      <w:r>
        <w:rPr>
          <w:rFonts w:hint="eastAsia" w:ascii="宋体" w:hAnsi="Times New Roman" w:eastAsia="宋体" w:cs="宋体"/>
          <w:b/>
          <w:kern w:val="0"/>
          <w:szCs w:val="21"/>
        </w:rPr>
        <w:t>四、根据《财库〔2012〕69号财政部关于进一步规范政府采购评审工作有关问题的通知》的规定，评审委员会要在采购项目招标失败时，出具招标文件是否存在不合理条款的论证意见，论证意见写进评审报告中。</w:t>
      </w:r>
    </w:p>
    <w:p>
      <w:pPr>
        <w:spacing w:line="300" w:lineRule="auto"/>
        <w:ind w:firstLine="422" w:firstLineChars="200"/>
        <w:rPr>
          <w:rFonts w:ascii="宋体" w:hAnsi="Times New Roman" w:eastAsia="宋体" w:cs="宋体"/>
          <w:b/>
          <w:kern w:val="0"/>
          <w:szCs w:val="21"/>
        </w:rPr>
      </w:pPr>
      <w:r>
        <w:rPr>
          <w:rFonts w:hint="eastAsia" w:ascii="宋体" w:hAnsi="Times New Roman" w:eastAsia="宋体" w:cs="宋体"/>
          <w:b/>
          <w:kern w:val="0"/>
          <w:szCs w:val="21"/>
        </w:rPr>
        <w:t>五、</w:t>
      </w:r>
      <w:r>
        <w:rPr>
          <w:rFonts w:ascii="宋体" w:hAnsi="Times New Roman" w:eastAsia="宋体" w:cs="宋体"/>
          <w:b/>
          <w:kern w:val="0"/>
          <w:szCs w:val="21"/>
        </w:rPr>
        <w:t>价格分计算方法：</w:t>
      </w:r>
    </w:p>
    <w:p>
      <w:pPr>
        <w:widowControl/>
        <w:shd w:val="clear" w:color="auto" w:fill="FFFFFF"/>
        <w:adjustRightInd w:val="0"/>
        <w:snapToGrid w:val="0"/>
        <w:spacing w:line="30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 xml:space="preserve">综合评分法中的价格分统一采用低价优先法计算,即满足招标文件要求且投标价格最低的投标报价为评标基准价,其价格分为满分。其他投标人的价格分统一按照下列公式计算：   </w:t>
      </w:r>
    </w:p>
    <w:p>
      <w:pPr>
        <w:widowControl/>
        <w:shd w:val="clear" w:color="auto" w:fill="FFFFFF"/>
        <w:adjustRightInd w:val="0"/>
        <w:snapToGrid w:val="0"/>
        <w:spacing w:line="30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投标报价得分=(评标基准价/投标报价)×</w:t>
      </w:r>
      <w:r>
        <w:rPr>
          <w:rFonts w:ascii="宋体" w:hAnsi="Times New Roman" w:eastAsia="宋体" w:cs="宋体"/>
          <w:kern w:val="0"/>
          <w:szCs w:val="21"/>
        </w:rPr>
        <w:t>1</w:t>
      </w:r>
      <w:r>
        <w:rPr>
          <w:rFonts w:hint="eastAsia" w:ascii="宋体" w:hAnsi="Times New Roman" w:eastAsia="宋体" w:cs="宋体"/>
          <w:kern w:val="0"/>
          <w:szCs w:val="21"/>
        </w:rPr>
        <w:t>8</w:t>
      </w:r>
    </w:p>
    <w:p>
      <w:pPr>
        <w:widowControl/>
        <w:shd w:val="clear" w:color="auto" w:fill="FFFFFF"/>
        <w:adjustRightInd w:val="0"/>
        <w:snapToGrid w:val="0"/>
        <w:spacing w:line="300" w:lineRule="auto"/>
        <w:ind w:firstLine="422" w:firstLineChars="200"/>
        <w:rPr>
          <w:rFonts w:ascii="宋体" w:hAnsi="Times New Roman" w:eastAsia="宋体" w:cs="宋体"/>
          <w:b/>
          <w:bCs/>
          <w:kern w:val="0"/>
          <w:szCs w:val="21"/>
        </w:rPr>
      </w:pPr>
      <w:r>
        <w:rPr>
          <w:rFonts w:hint="eastAsia" w:ascii="宋体" w:hAnsi="Times New Roman" w:eastAsia="宋体" w:cs="宋体"/>
          <w:b/>
          <w:bCs/>
          <w:kern w:val="0"/>
          <w:szCs w:val="21"/>
        </w:rPr>
        <w:t>六、评标优惠政策</w:t>
      </w:r>
    </w:p>
    <w:p>
      <w:pPr>
        <w:widowControl/>
        <w:shd w:val="clear" w:color="auto" w:fill="FFFFFF"/>
        <w:adjustRightInd w:val="0"/>
        <w:snapToGrid w:val="0"/>
        <w:spacing w:line="30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本项目采购标的(服务)对应的中小企业划分标准所属行业为</w:t>
      </w:r>
      <w:r>
        <w:rPr>
          <w:rFonts w:hint="eastAsia" w:ascii="宋体" w:hAnsi="Times New Roman" w:eastAsia="宋体" w:cs="宋体"/>
          <w:b/>
          <w:bCs/>
          <w:kern w:val="0"/>
          <w:szCs w:val="21"/>
          <w:u w:val="single"/>
        </w:rPr>
        <w:t>“其他未列明行业”</w:t>
      </w:r>
      <w:r>
        <w:rPr>
          <w:rFonts w:hint="eastAsia" w:ascii="宋体" w:hAnsi="Times New Roman" w:eastAsia="宋体" w:cs="宋体"/>
          <w:kern w:val="0"/>
          <w:szCs w:val="21"/>
        </w:rPr>
        <w:t>。</w:t>
      </w:r>
      <w:r>
        <w:rPr>
          <w:rFonts w:ascii="宋体" w:hAnsi="Times New Roman" w:eastAsia="宋体" w:cs="宋体"/>
          <w:kern w:val="0"/>
          <w:szCs w:val="21"/>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扣除</w:t>
      </w:r>
      <w:r>
        <w:rPr>
          <w:rFonts w:hint="eastAsia" w:ascii="宋体" w:hAnsi="Times New Roman" w:eastAsia="宋体" w:cs="宋体"/>
          <w:kern w:val="0"/>
          <w:szCs w:val="21"/>
          <w:u w:val="single"/>
        </w:rPr>
        <w:t>10</w:t>
      </w:r>
      <w:r>
        <w:rPr>
          <w:rFonts w:ascii="宋体" w:hAnsi="Times New Roman" w:eastAsia="宋体" w:cs="宋体"/>
          <w:kern w:val="0"/>
          <w:szCs w:val="21"/>
        </w:rPr>
        <w:t>%后参与评审。对于同时属于小微企业、监狱企业或残疾人福利性</w:t>
      </w:r>
      <w:r>
        <w:rPr>
          <w:rFonts w:hint="eastAsia" w:ascii="宋体" w:hAnsi="Times New Roman" w:eastAsia="宋体" w:cs="宋体"/>
          <w:kern w:val="0"/>
          <w:szCs w:val="21"/>
        </w:rPr>
        <w:t>单位的，不重复进行投标报价扣除。如有其它政策支持因素（如鼓励创新等）需一并列出。</w:t>
      </w:r>
    </w:p>
    <w:p>
      <w:pPr>
        <w:widowControl/>
        <w:shd w:val="clear" w:color="auto" w:fill="FFFFFF"/>
        <w:adjustRightInd w:val="0"/>
        <w:snapToGrid w:val="0"/>
        <w:spacing w:line="30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七、</w:t>
      </w:r>
      <w:r>
        <w:rPr>
          <w:rFonts w:ascii="宋体" w:hAnsi="Times New Roman" w:eastAsia="宋体" w:cs="宋体"/>
          <w:kern w:val="0"/>
          <w:szCs w:val="21"/>
        </w:rPr>
        <w:t>评标专家应对通过投标文件初审进入评标程序的投标文件先评技术标、再评商务标；</w:t>
      </w:r>
    </w:p>
    <w:p>
      <w:pPr>
        <w:widowControl/>
        <w:shd w:val="clear" w:color="auto" w:fill="FFFFFF"/>
        <w:adjustRightInd w:val="0"/>
        <w:snapToGrid w:val="0"/>
        <w:spacing w:line="30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八、</w:t>
      </w:r>
      <w:r>
        <w:rPr>
          <w:rFonts w:ascii="宋体" w:hAnsi="Times New Roman" w:eastAsia="宋体" w:cs="宋体"/>
          <w:kern w:val="0"/>
          <w:szCs w:val="21"/>
        </w:rPr>
        <w:t>评标专家需按招标文件规定的评审标准对投标</w:t>
      </w:r>
      <w:r>
        <w:rPr>
          <w:rFonts w:hint="eastAsia" w:ascii="宋体" w:hAnsi="Times New Roman" w:eastAsia="宋体" w:cs="宋体"/>
          <w:kern w:val="0"/>
          <w:szCs w:val="21"/>
        </w:rPr>
        <w:t>供应商</w:t>
      </w:r>
      <w:r>
        <w:rPr>
          <w:rFonts w:ascii="宋体" w:hAnsi="Times New Roman" w:eastAsia="宋体" w:cs="宋体"/>
          <w:kern w:val="0"/>
          <w:szCs w:val="21"/>
        </w:rPr>
        <w:t>提交的投标文件进行评审，投标文件中与评审标准无关的内容不作为评审内容</w:t>
      </w:r>
      <w:r>
        <w:rPr>
          <w:rFonts w:hint="eastAsia" w:ascii="宋体" w:hAnsi="Times New Roman" w:eastAsia="宋体" w:cs="宋体"/>
          <w:kern w:val="0"/>
          <w:szCs w:val="21"/>
        </w:rPr>
        <w:t>。</w:t>
      </w:r>
    </w:p>
    <w:p>
      <w:pPr>
        <w:widowControl/>
        <w:shd w:val="clear" w:color="auto" w:fill="FFFFFF"/>
        <w:adjustRightInd w:val="0"/>
        <w:snapToGrid w:val="0"/>
        <w:spacing w:line="30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九、评标委员会在评标时，应按照以下量化的评审因素，对各投标文件进行分析和比较：</w:t>
      </w:r>
    </w:p>
    <w:p>
      <w:pPr>
        <w:spacing w:before="240" w:after="60" w:line="312" w:lineRule="auto"/>
        <w:jc w:val="center"/>
        <w:outlineLvl w:val="0"/>
        <w:rPr>
          <w:rFonts w:ascii="宋体" w:hAnsi="Cambria" w:eastAsia="宋体" w:cs="Times New Roman"/>
          <w:b/>
          <w:kern w:val="28"/>
          <w:sz w:val="36"/>
          <w:szCs w:val="36"/>
        </w:rPr>
      </w:pPr>
      <w:r>
        <w:rPr>
          <w:rFonts w:hint="eastAsia" w:ascii="宋体" w:hAnsi="Cambria" w:eastAsia="宋体" w:cs="Times New Roman"/>
          <w:b/>
          <w:kern w:val="28"/>
          <w:sz w:val="24"/>
          <w:szCs w:val="24"/>
        </w:rPr>
        <w:br w:type="page"/>
      </w:r>
      <w:bookmarkStart w:id="5" w:name="_Toc167352542"/>
      <w:r>
        <w:rPr>
          <w:rFonts w:hint="eastAsia" w:ascii="宋体" w:hAnsi="Cambria" w:eastAsia="宋体" w:cs="Times New Roman"/>
          <w:b/>
          <w:kern w:val="28"/>
          <w:sz w:val="36"/>
          <w:szCs w:val="36"/>
        </w:rPr>
        <w:t>评分细则表</w:t>
      </w:r>
      <w:bookmarkEnd w:id="5"/>
    </w:p>
    <w:tbl>
      <w:tblPr>
        <w:tblStyle w:val="86"/>
        <w:tblW w:w="9073" w:type="dxa"/>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2"/>
        <w:gridCol w:w="1446"/>
        <w:gridCol w:w="708"/>
        <w:gridCol w:w="53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Align w:val="center"/>
          </w:tcPr>
          <w:p>
            <w:pPr>
              <w:jc w:val="center"/>
              <w:rPr>
                <w:rFonts w:ascii="宋体" w:hAnsi="宋体" w:eastAsia="宋体" w:cs="宋体"/>
                <w:color w:val="auto"/>
                <w:szCs w:val="21"/>
              </w:rPr>
            </w:pPr>
            <w:bookmarkStart w:id="6" w:name="_Toc432592812"/>
            <w:r>
              <w:rPr>
                <w:rFonts w:hint="eastAsia" w:ascii="宋体" w:hAnsi="宋体" w:eastAsia="宋体" w:cs="宋体"/>
                <w:color w:val="auto"/>
                <w:szCs w:val="21"/>
              </w:rPr>
              <w:t>类别</w:t>
            </w:r>
          </w:p>
        </w:tc>
        <w:tc>
          <w:tcPr>
            <w:tcW w:w="1446"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评分项目</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权重</w:t>
            </w:r>
          </w:p>
        </w:tc>
        <w:tc>
          <w:tcPr>
            <w:tcW w:w="5387"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评分参考及范围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restart"/>
            <w:vAlign w:val="center"/>
          </w:tcPr>
          <w:p>
            <w:pPr>
              <w:jc w:val="center"/>
              <w:rPr>
                <w:rFonts w:ascii="宋体" w:hAnsi="宋体" w:eastAsia="宋体" w:cs="宋体"/>
                <w:color w:val="auto"/>
                <w:szCs w:val="21"/>
              </w:rPr>
            </w:pPr>
            <w:r>
              <w:rPr>
                <w:rFonts w:hint="eastAsia" w:ascii="宋体" w:hAnsi="宋体" w:eastAsia="宋体" w:cs="宋体"/>
                <w:color w:val="auto"/>
                <w:szCs w:val="21"/>
              </w:rPr>
              <w:t>技术标</w:t>
            </w:r>
          </w:p>
          <w:p>
            <w:pPr>
              <w:jc w:val="center"/>
              <w:rPr>
                <w:rFonts w:ascii="宋体" w:hAnsi="宋体" w:eastAsia="宋体" w:cs="宋体"/>
                <w:color w:val="auto"/>
                <w:szCs w:val="21"/>
              </w:rPr>
            </w:pPr>
            <w:r>
              <w:rPr>
                <w:rFonts w:hint="eastAsia" w:ascii="宋体" w:hAnsi="宋体" w:eastAsia="宋体" w:cs="宋体"/>
                <w:color w:val="auto"/>
                <w:szCs w:val="21"/>
              </w:rPr>
              <w:t>（总分32分）</w:t>
            </w:r>
          </w:p>
        </w:tc>
        <w:tc>
          <w:tcPr>
            <w:tcW w:w="1446"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实施方案</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8</w:t>
            </w:r>
          </w:p>
        </w:tc>
        <w:tc>
          <w:tcPr>
            <w:tcW w:w="5387" w:type="dxa"/>
          </w:tcPr>
          <w:p>
            <w:pPr>
              <w:rPr>
                <w:rFonts w:ascii="宋体" w:hAnsi="宋体" w:eastAsia="宋体" w:cs="宋体"/>
                <w:color w:val="auto"/>
                <w:szCs w:val="21"/>
              </w:rPr>
            </w:pPr>
            <w:r>
              <w:rPr>
                <w:rFonts w:hint="eastAsia" w:ascii="宋体" w:hAnsi="宋体" w:eastAsia="宋体" w:cs="宋体"/>
                <w:color w:val="auto"/>
                <w:szCs w:val="21"/>
              </w:rPr>
              <w:t>（一）评分内容：</w:t>
            </w:r>
          </w:p>
          <w:p>
            <w:pPr>
              <w:rPr>
                <w:rFonts w:ascii="宋体" w:hAnsi="宋体" w:eastAsia="宋体" w:cs="宋体"/>
                <w:color w:val="auto"/>
                <w:szCs w:val="21"/>
              </w:rPr>
            </w:pPr>
            <w:r>
              <w:rPr>
                <w:rFonts w:hint="eastAsia" w:ascii="宋体" w:hAnsi="宋体" w:eastAsia="宋体" w:cs="宋体"/>
                <w:color w:val="auto"/>
                <w:szCs w:val="21"/>
              </w:rPr>
              <w:t>考察投标人针对本项目电梯维保服务实施方案中应包括工作措施、工作方法、工作机制、工作流程。</w:t>
            </w:r>
          </w:p>
          <w:p>
            <w:pPr>
              <w:rPr>
                <w:rFonts w:ascii="宋体" w:hAnsi="宋体" w:eastAsia="宋体" w:cs="宋体"/>
                <w:color w:val="auto"/>
                <w:szCs w:val="21"/>
              </w:rPr>
            </w:pPr>
            <w:r>
              <w:rPr>
                <w:rFonts w:hint="eastAsia" w:ascii="宋体" w:hAnsi="宋体" w:eastAsia="宋体" w:cs="宋体"/>
                <w:color w:val="auto"/>
                <w:szCs w:val="21"/>
              </w:rPr>
              <w:t>（二）评分依据：</w:t>
            </w:r>
          </w:p>
          <w:p>
            <w:pPr>
              <w:rPr>
                <w:rFonts w:ascii="宋体" w:hAnsi="宋体" w:eastAsia="宋体" w:cs="宋体"/>
                <w:color w:val="auto"/>
                <w:szCs w:val="21"/>
              </w:rPr>
            </w:pPr>
            <w:r>
              <w:rPr>
                <w:rFonts w:hint="eastAsia" w:ascii="宋体" w:hAnsi="宋体" w:eastAsia="宋体" w:cs="宋体"/>
                <w:color w:val="auto"/>
                <w:szCs w:val="21"/>
              </w:rPr>
              <w:t>1.投标人提供以上4项内容得4分，每缺少一项扣1分。</w:t>
            </w:r>
          </w:p>
          <w:p>
            <w:pPr>
              <w:rPr>
                <w:rFonts w:ascii="宋体" w:hAnsi="宋体" w:eastAsia="宋体" w:cs="宋体"/>
                <w:color w:val="auto"/>
                <w:szCs w:val="21"/>
              </w:rPr>
            </w:pPr>
            <w:r>
              <w:rPr>
                <w:rFonts w:hint="eastAsia" w:ascii="宋体" w:hAnsi="宋体" w:eastAsia="宋体" w:cs="宋体"/>
                <w:color w:val="auto"/>
                <w:szCs w:val="21"/>
              </w:rPr>
              <w:t xml:space="preserve">2.在此基础上，根据方案整体响应情况进行评分，本项最高加4分： </w:t>
            </w:r>
          </w:p>
          <w:p>
            <w:pPr>
              <w:rPr>
                <w:rFonts w:ascii="宋体" w:hAnsi="宋体" w:eastAsia="宋体" w:cs="宋体"/>
                <w:color w:val="auto"/>
                <w:szCs w:val="21"/>
              </w:rPr>
            </w:pPr>
            <w:r>
              <w:rPr>
                <w:rFonts w:hint="eastAsia" w:ascii="宋体" w:hAnsi="宋体" w:eastAsia="宋体" w:cs="宋体"/>
                <w:color w:val="auto"/>
                <w:szCs w:val="21"/>
              </w:rPr>
              <w:t xml:space="preserve">（1）实施方案内容全面、具体；  </w:t>
            </w:r>
          </w:p>
          <w:p>
            <w:pPr>
              <w:rPr>
                <w:rFonts w:ascii="宋体" w:hAnsi="宋体" w:eastAsia="宋体" w:cs="宋体"/>
                <w:color w:val="auto"/>
                <w:szCs w:val="21"/>
              </w:rPr>
            </w:pPr>
            <w:r>
              <w:rPr>
                <w:rFonts w:hint="eastAsia" w:ascii="宋体" w:hAnsi="宋体" w:eastAsia="宋体" w:cs="宋体"/>
                <w:color w:val="auto"/>
                <w:szCs w:val="21"/>
              </w:rPr>
              <w:t xml:space="preserve">（2）实施方案内容科学合理； </w:t>
            </w:r>
          </w:p>
          <w:p>
            <w:pPr>
              <w:rPr>
                <w:rFonts w:ascii="宋体" w:hAnsi="宋体" w:eastAsia="宋体" w:cs="宋体"/>
                <w:color w:val="auto"/>
                <w:szCs w:val="21"/>
              </w:rPr>
            </w:pPr>
            <w:r>
              <w:rPr>
                <w:rFonts w:hint="eastAsia" w:ascii="宋体" w:hAnsi="宋体" w:eastAsia="宋体" w:cs="宋体"/>
                <w:color w:val="auto"/>
                <w:szCs w:val="21"/>
              </w:rPr>
              <w:t xml:space="preserve">（3）实施方案内容针对性强； </w:t>
            </w:r>
          </w:p>
          <w:p>
            <w:pPr>
              <w:rPr>
                <w:rFonts w:ascii="宋体" w:hAnsi="宋体" w:eastAsia="宋体" w:cs="宋体"/>
                <w:color w:val="auto"/>
                <w:szCs w:val="21"/>
              </w:rPr>
            </w:pPr>
            <w:r>
              <w:rPr>
                <w:rFonts w:hint="eastAsia" w:ascii="宋体" w:hAnsi="宋体" w:eastAsia="宋体" w:cs="宋体"/>
                <w:color w:val="auto"/>
                <w:szCs w:val="21"/>
              </w:rPr>
              <w:t xml:space="preserve">（4）实施方案内容可操作性强。 </w:t>
            </w:r>
          </w:p>
          <w:p>
            <w:pPr>
              <w:rPr>
                <w:rFonts w:ascii="宋体" w:hAnsi="宋体" w:eastAsia="宋体" w:cs="宋体"/>
                <w:color w:val="auto"/>
                <w:szCs w:val="21"/>
              </w:rPr>
            </w:pPr>
            <w:r>
              <w:rPr>
                <w:rFonts w:hint="eastAsia" w:ascii="宋体" w:hAnsi="宋体" w:eastAsia="宋体" w:cs="宋体"/>
                <w:color w:val="auto"/>
                <w:szCs w:val="21"/>
              </w:rPr>
              <w:t xml:space="preserve">满足以上四项要求的加4分； </w:t>
            </w:r>
          </w:p>
          <w:p>
            <w:pPr>
              <w:rPr>
                <w:rFonts w:ascii="宋体" w:hAnsi="宋体" w:eastAsia="宋体" w:cs="宋体"/>
                <w:color w:val="auto"/>
                <w:szCs w:val="21"/>
              </w:rPr>
            </w:pPr>
            <w:r>
              <w:rPr>
                <w:rFonts w:hint="eastAsia" w:ascii="宋体" w:hAnsi="宋体" w:eastAsia="宋体" w:cs="宋体"/>
                <w:color w:val="auto"/>
                <w:szCs w:val="21"/>
              </w:rPr>
              <w:t xml:space="preserve">满足以上三项要求的加2分； </w:t>
            </w:r>
          </w:p>
          <w:p>
            <w:pPr>
              <w:rPr>
                <w:rFonts w:ascii="宋体" w:hAnsi="宋体" w:eastAsia="宋体" w:cs="宋体"/>
                <w:color w:val="auto"/>
                <w:szCs w:val="21"/>
              </w:rPr>
            </w:pPr>
            <w:r>
              <w:rPr>
                <w:rFonts w:hint="eastAsia" w:ascii="宋体" w:hAnsi="宋体" w:eastAsia="宋体" w:cs="宋体"/>
                <w:color w:val="auto"/>
                <w:szCs w:val="21"/>
              </w:rPr>
              <w:t>满足以上二项要求的加1分； bn</w:t>
            </w:r>
          </w:p>
          <w:p>
            <w:pPr>
              <w:rPr>
                <w:rFonts w:ascii="宋体" w:hAnsi="宋体" w:eastAsia="宋体" w:cs="宋体"/>
                <w:color w:val="auto"/>
                <w:szCs w:val="21"/>
              </w:rPr>
            </w:pPr>
            <w:r>
              <w:rPr>
                <w:rFonts w:hint="eastAsia" w:ascii="宋体" w:hAnsi="宋体" w:eastAsia="宋体" w:cs="宋体"/>
                <w:color w:val="auto"/>
                <w:szCs w:val="21"/>
              </w:rPr>
              <w:t>上述情况之外的不加分。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项目重难点分析及解决方案</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8</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（一）评分内容：</w:t>
            </w:r>
          </w:p>
          <w:p>
            <w:pPr>
              <w:rPr>
                <w:rFonts w:ascii="宋体" w:hAnsi="宋体" w:eastAsia="宋体" w:cs="宋体"/>
                <w:color w:val="auto"/>
                <w:szCs w:val="21"/>
              </w:rPr>
            </w:pPr>
            <w:r>
              <w:rPr>
                <w:rFonts w:hint="eastAsia" w:ascii="宋体" w:hAnsi="宋体" w:eastAsia="宋体" w:cs="宋体"/>
                <w:color w:val="auto"/>
                <w:szCs w:val="21"/>
              </w:rPr>
              <w:t xml:space="preserve">考察投标人提供符合本项目服务特点的相关重难点分析、应对措施、相关合理化建议。 </w:t>
            </w:r>
          </w:p>
          <w:p>
            <w:pPr>
              <w:rPr>
                <w:rFonts w:ascii="宋体" w:hAnsi="宋体" w:eastAsia="宋体" w:cs="宋体"/>
                <w:color w:val="auto"/>
                <w:szCs w:val="21"/>
              </w:rPr>
            </w:pPr>
            <w:r>
              <w:rPr>
                <w:rFonts w:hint="eastAsia" w:ascii="宋体" w:hAnsi="宋体" w:eastAsia="宋体" w:cs="宋体"/>
                <w:color w:val="auto"/>
                <w:szCs w:val="21"/>
              </w:rPr>
              <w:t>（二）评分依据：</w:t>
            </w:r>
          </w:p>
          <w:p>
            <w:pPr>
              <w:rPr>
                <w:rFonts w:ascii="宋体" w:hAnsi="宋体" w:eastAsia="宋体" w:cs="宋体"/>
                <w:color w:val="auto"/>
                <w:szCs w:val="21"/>
              </w:rPr>
            </w:pPr>
            <w:r>
              <w:rPr>
                <w:rFonts w:hint="eastAsia" w:ascii="宋体" w:hAnsi="宋体" w:eastAsia="宋体" w:cs="宋体"/>
                <w:color w:val="auto"/>
                <w:szCs w:val="21"/>
              </w:rPr>
              <w:t>1.投标人提供以上3项内容得3分，每缺少一项扣1分。</w:t>
            </w:r>
          </w:p>
          <w:p>
            <w:pPr>
              <w:rPr>
                <w:rFonts w:ascii="宋体" w:hAnsi="宋体" w:eastAsia="宋体" w:cs="宋体"/>
                <w:color w:val="auto"/>
                <w:szCs w:val="21"/>
              </w:rPr>
            </w:pPr>
            <w:r>
              <w:rPr>
                <w:rFonts w:hint="eastAsia" w:ascii="宋体" w:hAnsi="宋体" w:eastAsia="宋体" w:cs="宋体"/>
                <w:color w:val="auto"/>
                <w:szCs w:val="21"/>
              </w:rPr>
              <w:t xml:space="preserve">2.在此基础上，根据方案整体响应情况进行评分，本项最高加5分： </w:t>
            </w:r>
          </w:p>
          <w:p>
            <w:pPr>
              <w:rPr>
                <w:rFonts w:ascii="宋体" w:hAnsi="宋体" w:eastAsia="宋体" w:cs="宋体"/>
                <w:color w:val="auto"/>
                <w:szCs w:val="21"/>
              </w:rPr>
            </w:pPr>
            <w:r>
              <w:rPr>
                <w:rFonts w:hint="eastAsia" w:ascii="宋体" w:hAnsi="宋体" w:eastAsia="宋体" w:cs="宋体"/>
                <w:color w:val="auto"/>
                <w:szCs w:val="21"/>
              </w:rPr>
              <w:t xml:space="preserve">（1）相关重难点分析、应对措施及相关合理化建议内容全面、具体；  </w:t>
            </w:r>
          </w:p>
          <w:p>
            <w:pPr>
              <w:rPr>
                <w:rFonts w:ascii="宋体" w:hAnsi="宋体" w:eastAsia="宋体" w:cs="宋体"/>
                <w:color w:val="auto"/>
                <w:szCs w:val="21"/>
              </w:rPr>
            </w:pPr>
            <w:r>
              <w:rPr>
                <w:rFonts w:hint="eastAsia" w:ascii="宋体" w:hAnsi="宋体" w:eastAsia="宋体" w:cs="宋体"/>
                <w:color w:val="auto"/>
                <w:szCs w:val="21"/>
              </w:rPr>
              <w:t xml:space="preserve">（2）相关重难点分析、应对措施及相关合理化建议内容科学合理； </w:t>
            </w:r>
          </w:p>
          <w:p>
            <w:pPr>
              <w:rPr>
                <w:rFonts w:ascii="宋体" w:hAnsi="宋体" w:eastAsia="宋体" w:cs="宋体"/>
                <w:color w:val="auto"/>
                <w:szCs w:val="21"/>
              </w:rPr>
            </w:pPr>
            <w:r>
              <w:rPr>
                <w:rFonts w:hint="eastAsia" w:ascii="宋体" w:hAnsi="宋体" w:eastAsia="宋体" w:cs="宋体"/>
                <w:color w:val="auto"/>
                <w:szCs w:val="21"/>
              </w:rPr>
              <w:t xml:space="preserve">（3）相关重难点分析、应对措施及相关合理化建议内容针对性强； </w:t>
            </w:r>
          </w:p>
          <w:p>
            <w:pPr>
              <w:rPr>
                <w:rFonts w:ascii="宋体" w:hAnsi="宋体" w:eastAsia="宋体" w:cs="宋体"/>
                <w:color w:val="auto"/>
                <w:szCs w:val="21"/>
              </w:rPr>
            </w:pPr>
            <w:r>
              <w:rPr>
                <w:rFonts w:hint="eastAsia" w:ascii="宋体" w:hAnsi="宋体" w:eastAsia="宋体" w:cs="宋体"/>
                <w:color w:val="auto"/>
                <w:szCs w:val="21"/>
              </w:rPr>
              <w:t xml:space="preserve">（4）相关重难点分析、应对措施及相关合理化建议内容可操作性强。 </w:t>
            </w:r>
          </w:p>
          <w:p>
            <w:pPr>
              <w:rPr>
                <w:rFonts w:ascii="宋体" w:hAnsi="宋体" w:eastAsia="宋体" w:cs="宋体"/>
                <w:color w:val="auto"/>
                <w:szCs w:val="21"/>
              </w:rPr>
            </w:pPr>
            <w:r>
              <w:rPr>
                <w:rFonts w:hint="eastAsia" w:ascii="宋体" w:hAnsi="宋体" w:eastAsia="宋体" w:cs="宋体"/>
                <w:color w:val="auto"/>
                <w:szCs w:val="21"/>
              </w:rPr>
              <w:t xml:space="preserve">满足以上四项要求的加5分； </w:t>
            </w:r>
          </w:p>
          <w:p>
            <w:pPr>
              <w:rPr>
                <w:rFonts w:ascii="宋体" w:hAnsi="宋体" w:eastAsia="宋体" w:cs="宋体"/>
                <w:color w:val="auto"/>
                <w:szCs w:val="21"/>
              </w:rPr>
            </w:pPr>
            <w:r>
              <w:rPr>
                <w:rFonts w:hint="eastAsia" w:ascii="宋体" w:hAnsi="宋体" w:eastAsia="宋体" w:cs="宋体"/>
                <w:color w:val="auto"/>
                <w:szCs w:val="21"/>
              </w:rPr>
              <w:t xml:space="preserve">满足以上三项要求的加3分； </w:t>
            </w:r>
          </w:p>
          <w:p>
            <w:pPr>
              <w:rPr>
                <w:rFonts w:ascii="宋体" w:hAnsi="宋体" w:eastAsia="宋体" w:cs="宋体"/>
                <w:color w:val="auto"/>
                <w:szCs w:val="21"/>
              </w:rPr>
            </w:pPr>
            <w:r>
              <w:rPr>
                <w:rFonts w:hint="eastAsia" w:ascii="宋体" w:hAnsi="宋体" w:eastAsia="宋体" w:cs="宋体"/>
                <w:color w:val="auto"/>
                <w:szCs w:val="21"/>
              </w:rPr>
              <w:t xml:space="preserve">满足以上二项要求的加1分； </w:t>
            </w:r>
          </w:p>
          <w:p>
            <w:pPr>
              <w:rPr>
                <w:rFonts w:ascii="宋体" w:hAnsi="宋体" w:eastAsia="宋体" w:cs="宋体"/>
                <w:color w:val="auto"/>
                <w:szCs w:val="21"/>
              </w:rPr>
            </w:pPr>
            <w:r>
              <w:rPr>
                <w:rFonts w:hint="eastAsia" w:ascii="宋体" w:hAnsi="宋体" w:eastAsia="宋体" w:cs="宋体"/>
                <w:color w:val="auto"/>
                <w:szCs w:val="21"/>
              </w:rPr>
              <w:t>上述情况之外的不加分。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各种有针对性的应急处突方案</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8</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（一）评分内容：</w:t>
            </w:r>
          </w:p>
          <w:p>
            <w:pPr>
              <w:rPr>
                <w:rFonts w:ascii="宋体" w:hAnsi="宋体" w:eastAsia="宋体" w:cs="宋体"/>
                <w:color w:val="auto"/>
                <w:szCs w:val="21"/>
              </w:rPr>
            </w:pPr>
            <w:r>
              <w:rPr>
                <w:rFonts w:hint="eastAsia" w:ascii="宋体" w:hAnsi="宋体" w:eastAsia="宋体" w:cs="宋体"/>
                <w:color w:val="auto"/>
                <w:szCs w:val="21"/>
              </w:rPr>
              <w:t>根据投标人提供的各种有针对性的应急处突方案、备品备件方案、应对措施进行评审。</w:t>
            </w:r>
          </w:p>
          <w:p>
            <w:pPr>
              <w:jc w:val="left"/>
              <w:rPr>
                <w:rFonts w:ascii="宋体" w:hAnsi="宋体" w:eastAsia="宋体" w:cs="宋体"/>
                <w:color w:val="auto"/>
                <w:szCs w:val="21"/>
              </w:rPr>
            </w:pPr>
            <w:r>
              <w:rPr>
                <w:rFonts w:hint="eastAsia" w:ascii="宋体" w:hAnsi="宋体" w:eastAsia="宋体" w:cs="宋体"/>
                <w:color w:val="auto"/>
                <w:szCs w:val="21"/>
              </w:rPr>
              <w:t>（二）评分依据：</w:t>
            </w:r>
          </w:p>
          <w:p>
            <w:pPr>
              <w:rPr>
                <w:rFonts w:ascii="宋体" w:hAnsi="宋体" w:eastAsia="宋体" w:cs="宋体"/>
                <w:color w:val="auto"/>
                <w:szCs w:val="21"/>
              </w:rPr>
            </w:pPr>
            <w:r>
              <w:rPr>
                <w:rFonts w:hint="eastAsia" w:ascii="宋体" w:hAnsi="宋体" w:eastAsia="宋体" w:cs="宋体"/>
                <w:color w:val="auto"/>
                <w:szCs w:val="21"/>
              </w:rPr>
              <w:t>1.投标人提供以上3项内容得3分，每缺少一项扣1分。</w:t>
            </w:r>
          </w:p>
          <w:p>
            <w:pPr>
              <w:jc w:val="left"/>
              <w:rPr>
                <w:rFonts w:ascii="宋体" w:hAnsi="宋体" w:eastAsia="宋体" w:cs="宋体"/>
                <w:color w:val="auto"/>
                <w:szCs w:val="21"/>
              </w:rPr>
            </w:pPr>
            <w:r>
              <w:rPr>
                <w:rFonts w:hint="eastAsia" w:ascii="宋体" w:hAnsi="宋体" w:eastAsia="宋体" w:cs="宋体"/>
                <w:color w:val="auto"/>
                <w:szCs w:val="21"/>
              </w:rPr>
              <w:t>2.在此基础上，根据方案整体响应情况进行评分，本项最高加5分：</w:t>
            </w:r>
          </w:p>
          <w:p>
            <w:pPr>
              <w:jc w:val="left"/>
              <w:rPr>
                <w:rFonts w:ascii="宋体" w:hAnsi="宋体" w:eastAsia="宋体" w:cs="宋体"/>
                <w:color w:val="auto"/>
                <w:szCs w:val="21"/>
              </w:rPr>
            </w:pPr>
            <w:r>
              <w:rPr>
                <w:rFonts w:hint="eastAsia" w:ascii="宋体" w:hAnsi="宋体" w:eastAsia="宋体" w:cs="宋体"/>
                <w:color w:val="auto"/>
                <w:szCs w:val="21"/>
              </w:rPr>
              <w:t>（1）各种有针对性的应急处突方案、应对措施、响应时效内容全面、具体，表述清晰、完整、严谨；</w:t>
            </w:r>
          </w:p>
          <w:p>
            <w:pPr>
              <w:jc w:val="left"/>
              <w:rPr>
                <w:rFonts w:ascii="宋体" w:hAnsi="宋体" w:eastAsia="宋体" w:cs="宋体"/>
                <w:color w:val="auto"/>
                <w:szCs w:val="21"/>
              </w:rPr>
            </w:pPr>
            <w:r>
              <w:rPr>
                <w:rFonts w:hint="eastAsia" w:ascii="宋体" w:hAnsi="宋体" w:eastAsia="宋体" w:cs="宋体"/>
                <w:color w:val="auto"/>
                <w:szCs w:val="21"/>
              </w:rPr>
              <w:t>（2）各种有针对性的应急处突方案、备品备件方案、应对措施、响应时效内容针对性强；</w:t>
            </w:r>
          </w:p>
          <w:p>
            <w:pPr>
              <w:jc w:val="left"/>
              <w:rPr>
                <w:rFonts w:ascii="宋体" w:hAnsi="宋体" w:eastAsia="宋体" w:cs="宋体"/>
                <w:color w:val="auto"/>
                <w:szCs w:val="21"/>
              </w:rPr>
            </w:pPr>
            <w:r>
              <w:rPr>
                <w:rFonts w:hint="eastAsia" w:ascii="宋体" w:hAnsi="宋体" w:eastAsia="宋体" w:cs="宋体"/>
                <w:color w:val="auto"/>
                <w:szCs w:val="21"/>
              </w:rPr>
              <w:t>（3）各种有针对性的应急处突方案、备品备件方案、应对措施、响应时效内容科学合理；</w:t>
            </w:r>
          </w:p>
          <w:p>
            <w:pPr>
              <w:jc w:val="left"/>
              <w:rPr>
                <w:rFonts w:ascii="宋体" w:hAnsi="宋体" w:eastAsia="宋体" w:cs="宋体"/>
                <w:color w:val="auto"/>
                <w:szCs w:val="21"/>
              </w:rPr>
            </w:pPr>
            <w:r>
              <w:rPr>
                <w:rFonts w:hint="eastAsia" w:ascii="宋体" w:hAnsi="宋体" w:eastAsia="宋体" w:cs="宋体"/>
                <w:color w:val="auto"/>
                <w:szCs w:val="21"/>
              </w:rPr>
              <w:t>（4）各种有针对性的应急处突方案、备品备件方案、应对措施、响应时效内容可操作性强；</w:t>
            </w:r>
          </w:p>
          <w:p>
            <w:pPr>
              <w:rPr>
                <w:rFonts w:ascii="宋体" w:hAnsi="宋体" w:eastAsia="宋体" w:cs="宋体"/>
                <w:color w:val="auto"/>
                <w:szCs w:val="21"/>
              </w:rPr>
            </w:pPr>
            <w:r>
              <w:rPr>
                <w:rFonts w:hint="eastAsia" w:ascii="宋体" w:hAnsi="宋体" w:eastAsia="宋体" w:cs="宋体"/>
                <w:color w:val="auto"/>
                <w:szCs w:val="21"/>
              </w:rPr>
              <w:t xml:space="preserve">满足以上四项要求的加5分； </w:t>
            </w:r>
          </w:p>
          <w:p>
            <w:pPr>
              <w:rPr>
                <w:rFonts w:ascii="宋体" w:hAnsi="宋体" w:eastAsia="宋体" w:cs="宋体"/>
                <w:color w:val="auto"/>
                <w:szCs w:val="21"/>
              </w:rPr>
            </w:pPr>
            <w:r>
              <w:rPr>
                <w:rFonts w:hint="eastAsia" w:ascii="宋体" w:hAnsi="宋体" w:eastAsia="宋体" w:cs="宋体"/>
                <w:color w:val="auto"/>
                <w:szCs w:val="21"/>
              </w:rPr>
              <w:t xml:space="preserve">满足以上三项要求的加3分； </w:t>
            </w:r>
          </w:p>
          <w:p>
            <w:pPr>
              <w:rPr>
                <w:rFonts w:ascii="宋体" w:hAnsi="宋体" w:eastAsia="宋体" w:cs="宋体"/>
                <w:color w:val="auto"/>
                <w:szCs w:val="21"/>
              </w:rPr>
            </w:pPr>
            <w:r>
              <w:rPr>
                <w:rFonts w:hint="eastAsia" w:ascii="宋体" w:hAnsi="宋体" w:eastAsia="宋体" w:cs="宋体"/>
                <w:color w:val="auto"/>
                <w:szCs w:val="21"/>
              </w:rPr>
              <w:t xml:space="preserve">满足以上二项要求的加1分； </w:t>
            </w:r>
          </w:p>
          <w:p>
            <w:pPr>
              <w:jc w:val="left"/>
              <w:rPr>
                <w:rFonts w:ascii="宋体" w:hAnsi="宋体" w:eastAsia="宋体" w:cs="宋体"/>
                <w:color w:val="auto"/>
                <w:szCs w:val="21"/>
              </w:rPr>
            </w:pPr>
            <w:r>
              <w:rPr>
                <w:rFonts w:hint="eastAsia" w:ascii="宋体" w:hAnsi="宋体" w:eastAsia="宋体" w:cs="宋体"/>
                <w:color w:val="auto"/>
                <w:szCs w:val="21"/>
              </w:rPr>
              <w:t>上述情况之外的不加分。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wordWrap w:val="0"/>
              <w:jc w:val="center"/>
              <w:rPr>
                <w:rFonts w:ascii="宋体" w:hAnsi="宋体" w:eastAsia="宋体" w:cs="宋体"/>
                <w:color w:val="auto"/>
                <w:szCs w:val="21"/>
              </w:rPr>
            </w:pPr>
            <w:r>
              <w:rPr>
                <w:rFonts w:hint="eastAsia" w:ascii="宋体" w:hAnsi="宋体" w:eastAsia="宋体" w:cs="宋体"/>
                <w:color w:val="auto"/>
                <w:szCs w:val="21"/>
              </w:rPr>
              <w:t>违约承诺</w:t>
            </w:r>
          </w:p>
        </w:tc>
        <w:tc>
          <w:tcPr>
            <w:tcW w:w="708" w:type="dxa"/>
            <w:vAlign w:val="center"/>
          </w:tcPr>
          <w:p>
            <w:pPr>
              <w:wordWrap w:val="0"/>
              <w:jc w:val="center"/>
              <w:rPr>
                <w:rFonts w:ascii="宋体" w:hAnsi="宋体" w:eastAsia="宋体" w:cs="宋体"/>
                <w:color w:val="auto"/>
                <w:szCs w:val="21"/>
              </w:rPr>
            </w:pPr>
            <w:r>
              <w:rPr>
                <w:rFonts w:hint="eastAsia" w:ascii="宋体" w:hAnsi="宋体" w:eastAsia="宋体" w:cs="宋体"/>
                <w:color w:val="auto"/>
                <w:szCs w:val="21"/>
              </w:rPr>
              <w:t>3</w:t>
            </w:r>
          </w:p>
        </w:tc>
        <w:tc>
          <w:tcPr>
            <w:tcW w:w="5387" w:type="dxa"/>
          </w:tcPr>
          <w:p>
            <w:pPr>
              <w:rPr>
                <w:rFonts w:ascii="宋体" w:hAnsi="宋体" w:eastAsia="宋体" w:cs="宋体"/>
                <w:color w:val="auto"/>
                <w:szCs w:val="21"/>
              </w:rPr>
            </w:pPr>
            <w:r>
              <w:rPr>
                <w:rFonts w:hint="eastAsia" w:ascii="宋体" w:hAnsi="宋体" w:eastAsia="宋体" w:cs="宋体"/>
                <w:color w:val="auto"/>
                <w:szCs w:val="21"/>
              </w:rPr>
              <w:t>（一）评分内容：</w:t>
            </w:r>
          </w:p>
          <w:p>
            <w:pPr>
              <w:wordWrap w:val="0"/>
              <w:rPr>
                <w:rFonts w:ascii="宋体" w:hAnsi="宋体" w:eastAsia="宋体" w:cs="宋体"/>
                <w:color w:val="auto"/>
                <w:szCs w:val="21"/>
              </w:rPr>
            </w:pPr>
            <w:r>
              <w:rPr>
                <w:rFonts w:hint="eastAsia" w:ascii="宋体" w:hAnsi="宋体" w:eastAsia="宋体" w:cs="宋体"/>
                <w:color w:val="auto"/>
                <w:szCs w:val="21"/>
              </w:rPr>
              <w:t>1.达不到验收标准的违约承诺。</w:t>
            </w:r>
          </w:p>
          <w:p>
            <w:pPr>
              <w:wordWrap w:val="0"/>
              <w:rPr>
                <w:rFonts w:ascii="宋体" w:hAnsi="宋体" w:eastAsia="宋体" w:cs="宋体"/>
                <w:color w:val="auto"/>
                <w:szCs w:val="21"/>
              </w:rPr>
            </w:pPr>
            <w:r>
              <w:rPr>
                <w:rFonts w:hint="eastAsia" w:ascii="宋体" w:hAnsi="宋体" w:eastAsia="宋体" w:cs="宋体"/>
                <w:color w:val="auto"/>
                <w:szCs w:val="21"/>
              </w:rPr>
              <w:t>2.未按约定时间完成工作的违约承诺。</w:t>
            </w:r>
          </w:p>
          <w:p>
            <w:pPr>
              <w:jc w:val="left"/>
              <w:rPr>
                <w:rFonts w:ascii="宋体" w:hAnsi="宋体" w:eastAsia="宋体" w:cs="宋体"/>
                <w:color w:val="auto"/>
                <w:szCs w:val="21"/>
              </w:rPr>
            </w:pPr>
            <w:r>
              <w:rPr>
                <w:rFonts w:hint="eastAsia" w:ascii="宋体" w:hAnsi="宋体" w:eastAsia="宋体" w:cs="宋体"/>
                <w:color w:val="auto"/>
                <w:szCs w:val="21"/>
              </w:rPr>
              <w:t>3.人员未按照招标文件及投标承诺配置的违约承诺。</w:t>
            </w:r>
          </w:p>
          <w:p>
            <w:pPr>
              <w:jc w:val="left"/>
              <w:rPr>
                <w:rFonts w:ascii="宋体" w:hAnsi="宋体" w:eastAsia="宋体" w:cs="宋体"/>
                <w:color w:val="auto"/>
                <w:szCs w:val="21"/>
              </w:rPr>
            </w:pPr>
            <w:r>
              <w:rPr>
                <w:rFonts w:hint="eastAsia" w:ascii="宋体" w:hAnsi="宋体" w:eastAsia="宋体" w:cs="宋体"/>
                <w:color w:val="auto"/>
                <w:szCs w:val="21"/>
              </w:rPr>
              <w:t>（二）评分依据：</w:t>
            </w:r>
          </w:p>
          <w:p>
            <w:pPr>
              <w:rPr>
                <w:rFonts w:ascii="宋体" w:hAnsi="宋体" w:eastAsia="宋体" w:cs="宋体"/>
                <w:color w:val="auto"/>
                <w:szCs w:val="21"/>
              </w:rPr>
            </w:pPr>
            <w:r>
              <w:rPr>
                <w:rFonts w:hint="eastAsia" w:ascii="宋体" w:hAnsi="宋体" w:eastAsia="宋体" w:cs="宋体"/>
                <w:color w:val="auto"/>
                <w:szCs w:val="21"/>
              </w:rPr>
              <w:t>1.投标人提供以上3项内容得1.5分，每缺少一项扣0.5分。</w:t>
            </w:r>
          </w:p>
          <w:p>
            <w:pPr>
              <w:jc w:val="left"/>
              <w:rPr>
                <w:rFonts w:ascii="宋体" w:hAnsi="宋体" w:eastAsia="宋体" w:cs="宋体"/>
                <w:color w:val="auto"/>
                <w:szCs w:val="21"/>
              </w:rPr>
            </w:pPr>
            <w:r>
              <w:rPr>
                <w:rFonts w:hint="eastAsia" w:ascii="宋体" w:hAnsi="宋体" w:eastAsia="宋体" w:cs="宋体"/>
                <w:color w:val="auto"/>
                <w:szCs w:val="21"/>
              </w:rPr>
              <w:t>2.在此基础上，根据方案整体响应情况进行评分，本项最高加1.5分：</w:t>
            </w:r>
          </w:p>
          <w:p>
            <w:pPr>
              <w:wordWrap w:val="0"/>
              <w:rPr>
                <w:rFonts w:ascii="宋体" w:hAnsi="宋体" w:eastAsia="宋体" w:cs="宋体"/>
                <w:color w:val="auto"/>
                <w:szCs w:val="21"/>
              </w:rPr>
            </w:pPr>
            <w:r>
              <w:rPr>
                <w:rFonts w:hint="eastAsia" w:ascii="宋体" w:hAnsi="宋体" w:eastAsia="宋体" w:cs="宋体"/>
                <w:color w:val="auto"/>
                <w:szCs w:val="21"/>
              </w:rPr>
              <w:t xml:space="preserve">内容完整、全面，措施合理，加1.5分； </w:t>
            </w:r>
          </w:p>
          <w:p>
            <w:pPr>
              <w:wordWrap w:val="0"/>
              <w:rPr>
                <w:rFonts w:ascii="宋体" w:hAnsi="宋体" w:eastAsia="宋体" w:cs="宋体"/>
                <w:color w:val="auto"/>
                <w:szCs w:val="21"/>
              </w:rPr>
            </w:pPr>
            <w:r>
              <w:rPr>
                <w:rFonts w:hint="eastAsia" w:ascii="宋体" w:hAnsi="宋体" w:eastAsia="宋体" w:cs="宋体"/>
                <w:color w:val="auto"/>
                <w:szCs w:val="21"/>
              </w:rPr>
              <w:t>内容完整、全面，措施较合理，加1分；</w:t>
            </w:r>
          </w:p>
          <w:p>
            <w:pPr>
              <w:wordWrap w:val="0"/>
              <w:rPr>
                <w:rFonts w:ascii="宋体" w:hAnsi="宋体" w:eastAsia="宋体" w:cs="宋体"/>
                <w:color w:val="auto"/>
                <w:szCs w:val="21"/>
              </w:rPr>
            </w:pPr>
            <w:r>
              <w:rPr>
                <w:rFonts w:hint="eastAsia" w:ascii="宋体" w:hAnsi="宋体" w:eastAsia="宋体" w:cs="宋体"/>
                <w:color w:val="auto"/>
                <w:szCs w:val="21"/>
              </w:rPr>
              <w:t>内容完整、全面，措施一般，加0.5分；</w:t>
            </w:r>
          </w:p>
          <w:p>
            <w:pPr>
              <w:wordWrap w:val="0"/>
              <w:rPr>
                <w:rFonts w:ascii="宋体" w:hAnsi="宋体" w:eastAsia="宋体" w:cs="宋体"/>
                <w:color w:val="auto"/>
                <w:szCs w:val="21"/>
              </w:rPr>
            </w:pPr>
            <w:r>
              <w:rPr>
                <w:rFonts w:hint="eastAsia" w:ascii="宋体" w:hAnsi="宋体" w:eastAsia="宋体" w:cs="宋体"/>
                <w:color w:val="auto"/>
                <w:szCs w:val="21"/>
              </w:rPr>
              <w:t>内容存在严重不完整或保障措施不合理，不加分。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wordWrap w:val="0"/>
              <w:jc w:val="center"/>
              <w:rPr>
                <w:rFonts w:ascii="宋体" w:hAnsi="宋体" w:eastAsia="宋体" w:cs="宋体"/>
                <w:color w:val="auto"/>
                <w:szCs w:val="21"/>
              </w:rPr>
            </w:pPr>
            <w:r>
              <w:rPr>
                <w:rFonts w:hint="eastAsia" w:ascii="宋体" w:hAnsi="宋体" w:eastAsia="宋体" w:cs="宋体"/>
                <w:color w:val="auto"/>
                <w:szCs w:val="21"/>
              </w:rPr>
              <w:t>项目人员的培训、管理方案</w:t>
            </w:r>
          </w:p>
        </w:tc>
        <w:tc>
          <w:tcPr>
            <w:tcW w:w="708" w:type="dxa"/>
            <w:vAlign w:val="center"/>
          </w:tcPr>
          <w:p>
            <w:pPr>
              <w:wordWrap w:val="0"/>
              <w:jc w:val="center"/>
              <w:rPr>
                <w:rFonts w:ascii="宋体" w:hAnsi="宋体" w:eastAsia="宋体" w:cs="宋体"/>
                <w:color w:val="auto"/>
                <w:szCs w:val="21"/>
              </w:rPr>
            </w:pPr>
            <w:r>
              <w:rPr>
                <w:rFonts w:hint="eastAsia" w:ascii="宋体" w:hAnsi="宋体" w:eastAsia="宋体" w:cs="宋体"/>
                <w:color w:val="auto"/>
                <w:szCs w:val="21"/>
              </w:rPr>
              <w:t>5</w:t>
            </w:r>
          </w:p>
        </w:tc>
        <w:tc>
          <w:tcPr>
            <w:tcW w:w="5387" w:type="dxa"/>
          </w:tcPr>
          <w:p>
            <w:pPr>
              <w:rPr>
                <w:rFonts w:ascii="宋体" w:hAnsi="宋体" w:eastAsia="宋体" w:cs="宋体"/>
                <w:color w:val="auto"/>
                <w:szCs w:val="21"/>
              </w:rPr>
            </w:pPr>
            <w:r>
              <w:rPr>
                <w:rFonts w:hint="eastAsia" w:ascii="宋体" w:hAnsi="宋体" w:eastAsia="宋体" w:cs="宋体"/>
                <w:color w:val="auto"/>
                <w:szCs w:val="21"/>
              </w:rPr>
              <w:t>（一）评分内容：</w:t>
            </w:r>
          </w:p>
          <w:p>
            <w:pPr>
              <w:wordWrap w:val="0"/>
              <w:rPr>
                <w:rFonts w:ascii="宋体" w:hAnsi="宋体" w:eastAsia="宋体" w:cs="宋体"/>
                <w:color w:val="auto"/>
                <w:szCs w:val="21"/>
              </w:rPr>
            </w:pPr>
            <w:r>
              <w:rPr>
                <w:rFonts w:hint="eastAsia" w:ascii="宋体" w:hAnsi="宋体" w:eastAsia="宋体" w:cs="宋体"/>
                <w:color w:val="auto"/>
                <w:szCs w:val="21"/>
              </w:rPr>
              <w:t>1.提供项目人员的培训方案。</w:t>
            </w:r>
          </w:p>
          <w:p>
            <w:pPr>
              <w:wordWrap w:val="0"/>
              <w:rPr>
                <w:rFonts w:ascii="宋体" w:hAnsi="宋体" w:eastAsia="宋体" w:cs="宋体"/>
                <w:color w:val="auto"/>
                <w:szCs w:val="21"/>
              </w:rPr>
            </w:pPr>
            <w:r>
              <w:rPr>
                <w:rFonts w:hint="eastAsia" w:ascii="宋体" w:hAnsi="宋体" w:eastAsia="宋体" w:cs="宋体"/>
                <w:color w:val="auto"/>
                <w:szCs w:val="21"/>
              </w:rPr>
              <w:t>2.提供项目人员的管理方案。</w:t>
            </w:r>
          </w:p>
          <w:p>
            <w:pPr>
              <w:jc w:val="left"/>
              <w:rPr>
                <w:rFonts w:ascii="宋体" w:hAnsi="宋体" w:eastAsia="宋体" w:cs="宋体"/>
                <w:color w:val="auto"/>
                <w:szCs w:val="21"/>
              </w:rPr>
            </w:pPr>
            <w:r>
              <w:rPr>
                <w:rFonts w:hint="eastAsia" w:ascii="宋体" w:hAnsi="宋体" w:eastAsia="宋体" w:cs="宋体"/>
                <w:color w:val="auto"/>
                <w:szCs w:val="21"/>
              </w:rPr>
              <w:t>3.提供项目人员的行为规范方案。</w:t>
            </w:r>
          </w:p>
          <w:p>
            <w:pPr>
              <w:jc w:val="left"/>
              <w:rPr>
                <w:rFonts w:ascii="宋体" w:hAnsi="宋体" w:eastAsia="宋体" w:cs="宋体"/>
                <w:color w:val="auto"/>
                <w:szCs w:val="21"/>
              </w:rPr>
            </w:pPr>
            <w:r>
              <w:rPr>
                <w:rFonts w:hint="eastAsia" w:ascii="宋体" w:hAnsi="宋体" w:eastAsia="宋体" w:cs="宋体"/>
                <w:color w:val="auto"/>
                <w:szCs w:val="21"/>
              </w:rPr>
              <w:t>（二）评分依据：</w:t>
            </w:r>
          </w:p>
          <w:p>
            <w:pPr>
              <w:rPr>
                <w:rFonts w:ascii="宋体" w:hAnsi="宋体" w:eastAsia="宋体" w:cs="宋体"/>
                <w:color w:val="auto"/>
                <w:szCs w:val="21"/>
              </w:rPr>
            </w:pPr>
            <w:r>
              <w:rPr>
                <w:rFonts w:hint="eastAsia" w:ascii="宋体" w:hAnsi="宋体" w:eastAsia="宋体" w:cs="宋体"/>
                <w:color w:val="auto"/>
                <w:szCs w:val="21"/>
              </w:rPr>
              <w:t>1.投标人提供以上3项内容得2分，其他情况不得分。</w:t>
            </w:r>
          </w:p>
          <w:p>
            <w:pPr>
              <w:jc w:val="left"/>
              <w:rPr>
                <w:rFonts w:ascii="宋体" w:hAnsi="宋体" w:eastAsia="宋体" w:cs="宋体"/>
                <w:color w:val="auto"/>
                <w:szCs w:val="21"/>
              </w:rPr>
            </w:pPr>
            <w:r>
              <w:rPr>
                <w:rFonts w:hint="eastAsia" w:ascii="宋体" w:hAnsi="宋体" w:eastAsia="宋体" w:cs="宋体"/>
                <w:color w:val="auto"/>
                <w:szCs w:val="21"/>
              </w:rPr>
              <w:t>2.在此基础上，根据提供的方案内容进行评分，本项最高加3分：</w:t>
            </w:r>
          </w:p>
          <w:p>
            <w:pPr>
              <w:wordWrap w:val="0"/>
              <w:rPr>
                <w:rFonts w:ascii="宋体" w:hAnsi="宋体" w:eastAsia="宋体" w:cs="宋体"/>
                <w:color w:val="auto"/>
                <w:szCs w:val="21"/>
              </w:rPr>
            </w:pPr>
            <w:r>
              <w:rPr>
                <w:rFonts w:hint="eastAsia" w:ascii="宋体" w:hAnsi="宋体" w:eastAsia="宋体" w:cs="宋体"/>
                <w:color w:val="auto"/>
                <w:szCs w:val="21"/>
              </w:rPr>
              <w:t xml:space="preserve">内容完整、全面，合理，加3分； </w:t>
            </w:r>
          </w:p>
          <w:p>
            <w:pPr>
              <w:wordWrap w:val="0"/>
              <w:rPr>
                <w:rFonts w:ascii="宋体" w:hAnsi="宋体" w:eastAsia="宋体" w:cs="宋体"/>
                <w:color w:val="auto"/>
                <w:szCs w:val="21"/>
              </w:rPr>
            </w:pPr>
            <w:r>
              <w:rPr>
                <w:rFonts w:hint="eastAsia" w:ascii="宋体" w:hAnsi="宋体" w:eastAsia="宋体" w:cs="宋体"/>
                <w:color w:val="auto"/>
                <w:szCs w:val="21"/>
              </w:rPr>
              <w:t>内容完整、全面，较合理，加2分；</w:t>
            </w:r>
          </w:p>
          <w:p>
            <w:pPr>
              <w:wordWrap w:val="0"/>
              <w:rPr>
                <w:rFonts w:ascii="宋体" w:hAnsi="宋体" w:eastAsia="宋体" w:cs="宋体"/>
                <w:color w:val="auto"/>
                <w:szCs w:val="21"/>
              </w:rPr>
            </w:pPr>
            <w:r>
              <w:rPr>
                <w:rFonts w:hint="eastAsia" w:ascii="宋体" w:hAnsi="宋体" w:eastAsia="宋体" w:cs="宋体"/>
                <w:color w:val="auto"/>
                <w:szCs w:val="21"/>
              </w:rPr>
              <w:t>内容完整、全面，一般，加1分；</w:t>
            </w:r>
          </w:p>
          <w:p>
            <w:pPr>
              <w:wordWrap w:val="0"/>
              <w:rPr>
                <w:rFonts w:ascii="宋体" w:hAnsi="宋体" w:eastAsia="宋体" w:cs="宋体"/>
                <w:color w:val="auto"/>
                <w:szCs w:val="21"/>
              </w:rPr>
            </w:pPr>
            <w:r>
              <w:rPr>
                <w:rFonts w:hint="eastAsia" w:ascii="宋体" w:hAnsi="宋体" w:eastAsia="宋体" w:cs="宋体"/>
                <w:color w:val="auto"/>
                <w:szCs w:val="21"/>
              </w:rPr>
              <w:t>内容存在严重不完整或不合理，不加分。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价格标</w:t>
            </w:r>
          </w:p>
          <w:p>
            <w:pPr>
              <w:jc w:val="center"/>
              <w:rPr>
                <w:rFonts w:ascii="宋体" w:hAnsi="宋体" w:eastAsia="宋体" w:cs="宋体"/>
                <w:color w:val="auto"/>
                <w:szCs w:val="21"/>
              </w:rPr>
            </w:pPr>
            <w:r>
              <w:rPr>
                <w:rFonts w:hint="eastAsia" w:ascii="宋体" w:hAnsi="宋体" w:eastAsia="宋体" w:cs="宋体"/>
                <w:color w:val="auto"/>
                <w:szCs w:val="21"/>
              </w:rPr>
              <w:t>（总分18分）</w:t>
            </w:r>
          </w:p>
        </w:tc>
        <w:tc>
          <w:tcPr>
            <w:tcW w:w="1446" w:type="dxa"/>
            <w:vAlign w:val="center"/>
          </w:tcPr>
          <w:p>
            <w:pPr>
              <w:tabs>
                <w:tab w:val="left" w:pos="4995"/>
              </w:tabs>
              <w:jc w:val="center"/>
              <w:rPr>
                <w:rFonts w:ascii="宋体" w:hAnsi="宋体" w:eastAsia="宋体" w:cs="宋体"/>
                <w:color w:val="auto"/>
                <w:szCs w:val="21"/>
              </w:rPr>
            </w:pPr>
            <w:r>
              <w:rPr>
                <w:rFonts w:hint="eastAsia" w:ascii="宋体" w:hAnsi="宋体" w:eastAsia="宋体" w:cs="宋体"/>
                <w:color w:val="auto"/>
                <w:szCs w:val="21"/>
              </w:rPr>
              <w:t>投标总价</w:t>
            </w:r>
          </w:p>
        </w:tc>
        <w:tc>
          <w:tcPr>
            <w:tcW w:w="708" w:type="dxa"/>
            <w:vAlign w:val="center"/>
          </w:tcPr>
          <w:p>
            <w:pPr>
              <w:tabs>
                <w:tab w:val="left" w:pos="4995"/>
              </w:tabs>
              <w:jc w:val="center"/>
              <w:rPr>
                <w:rFonts w:ascii="宋体" w:hAnsi="宋体" w:eastAsia="宋体" w:cs="宋体"/>
                <w:color w:val="auto"/>
                <w:szCs w:val="21"/>
              </w:rPr>
            </w:pPr>
            <w:r>
              <w:rPr>
                <w:rFonts w:hint="eastAsia" w:ascii="宋体" w:hAnsi="宋体" w:eastAsia="宋体" w:cs="宋体"/>
                <w:color w:val="auto"/>
                <w:szCs w:val="21"/>
              </w:rPr>
              <w:t>18</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满足招标文件要求且投标价格最低的投标报价为评标基准价，其价格分为满分。其他投标人的价格分统一按照下列公式计算：</w:t>
            </w:r>
          </w:p>
          <w:p>
            <w:pPr>
              <w:rPr>
                <w:rFonts w:ascii="宋体" w:hAnsi="宋体" w:eastAsia="宋体" w:cs="宋体"/>
                <w:color w:val="auto"/>
                <w:szCs w:val="21"/>
              </w:rPr>
            </w:pPr>
            <w:r>
              <w:rPr>
                <w:rFonts w:hint="eastAsia" w:ascii="宋体" w:hAnsi="宋体" w:eastAsia="宋体" w:cs="宋体"/>
                <w:color w:val="auto"/>
                <w:szCs w:val="21"/>
              </w:rPr>
              <w:t>投标报价得分=(评标基准价／投标报价) ×18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restart"/>
            <w:vAlign w:val="center"/>
          </w:tcPr>
          <w:p>
            <w:pPr>
              <w:jc w:val="center"/>
              <w:rPr>
                <w:rFonts w:ascii="宋体" w:hAnsi="宋体" w:eastAsia="宋体" w:cs="宋体"/>
                <w:color w:val="auto"/>
                <w:szCs w:val="21"/>
              </w:rPr>
            </w:pPr>
            <w:r>
              <w:rPr>
                <w:rFonts w:hint="eastAsia" w:ascii="宋体" w:hAnsi="宋体" w:eastAsia="宋体" w:cs="宋体"/>
                <w:color w:val="auto"/>
                <w:szCs w:val="21"/>
              </w:rPr>
              <w:t>商务标</w:t>
            </w:r>
          </w:p>
          <w:p>
            <w:pPr>
              <w:jc w:val="center"/>
              <w:rPr>
                <w:rFonts w:ascii="宋体" w:hAnsi="宋体" w:eastAsia="宋体" w:cs="宋体"/>
                <w:color w:val="auto"/>
                <w:szCs w:val="21"/>
              </w:rPr>
            </w:pPr>
            <w:r>
              <w:rPr>
                <w:rFonts w:hint="eastAsia" w:ascii="宋体" w:hAnsi="宋体" w:eastAsia="宋体" w:cs="宋体"/>
                <w:color w:val="auto"/>
                <w:szCs w:val="21"/>
              </w:rPr>
              <w:t>（总分50分）</w:t>
            </w:r>
          </w:p>
        </w:tc>
        <w:tc>
          <w:tcPr>
            <w:tcW w:w="1446" w:type="dxa"/>
            <w:vAlign w:val="center"/>
          </w:tcPr>
          <w:p>
            <w:pPr>
              <w:tabs>
                <w:tab w:val="left" w:pos="4995"/>
              </w:tabs>
              <w:jc w:val="center"/>
              <w:rPr>
                <w:rFonts w:ascii="宋体" w:hAnsi="宋体" w:eastAsia="宋体" w:cs="宋体"/>
                <w:color w:val="auto"/>
                <w:szCs w:val="21"/>
              </w:rPr>
            </w:pPr>
            <w:r>
              <w:rPr>
                <w:rFonts w:hint="eastAsia" w:ascii="宋体" w:hAnsi="宋体" w:eastAsia="宋体" w:cs="宋体"/>
                <w:color w:val="auto"/>
                <w:szCs w:val="21"/>
              </w:rPr>
              <w:t>投标人认证情况</w:t>
            </w:r>
          </w:p>
        </w:tc>
        <w:tc>
          <w:tcPr>
            <w:tcW w:w="708" w:type="dxa"/>
            <w:vAlign w:val="center"/>
          </w:tcPr>
          <w:p>
            <w:pPr>
              <w:tabs>
                <w:tab w:val="left" w:pos="4995"/>
              </w:tabs>
              <w:jc w:val="center"/>
              <w:rPr>
                <w:rFonts w:ascii="宋体" w:hAnsi="宋体" w:eastAsia="宋体" w:cs="宋体"/>
                <w:color w:val="auto"/>
                <w:szCs w:val="21"/>
              </w:rPr>
            </w:pPr>
            <w:r>
              <w:rPr>
                <w:rFonts w:hint="eastAsia" w:ascii="宋体" w:hAnsi="宋体" w:eastAsia="宋体" w:cs="宋体"/>
                <w:color w:val="auto"/>
                <w:szCs w:val="21"/>
              </w:rPr>
              <w:t>6</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（一）评审标准：</w:t>
            </w:r>
          </w:p>
          <w:p>
            <w:pPr>
              <w:rPr>
                <w:rFonts w:ascii="宋体" w:hAnsi="宋体" w:eastAsia="宋体" w:cs="宋体"/>
                <w:color w:val="auto"/>
                <w:szCs w:val="21"/>
              </w:rPr>
            </w:pPr>
            <w:r>
              <w:rPr>
                <w:rFonts w:hint="eastAsia" w:ascii="宋体" w:hAnsi="宋体" w:eastAsia="宋体" w:cs="宋体"/>
                <w:color w:val="auto"/>
                <w:szCs w:val="21"/>
              </w:rPr>
              <w:t>考察投标人具有国家认证认可监督管理委员会批准的认证机构颁发的认证证书情况，最高得6分：</w:t>
            </w:r>
          </w:p>
          <w:p>
            <w:pPr>
              <w:rPr>
                <w:rFonts w:ascii="宋体" w:hAnsi="宋体" w:eastAsia="宋体" w:cs="宋体"/>
                <w:color w:val="auto"/>
                <w:szCs w:val="21"/>
              </w:rPr>
            </w:pPr>
            <w:r>
              <w:rPr>
                <w:rFonts w:hint="eastAsia" w:ascii="宋体" w:hAnsi="宋体" w:eastAsia="宋体" w:cs="宋体"/>
                <w:color w:val="auto"/>
                <w:szCs w:val="21"/>
              </w:rPr>
              <w:t>（1）通过质量管理体系认证得2分；</w:t>
            </w:r>
          </w:p>
          <w:p>
            <w:pPr>
              <w:rPr>
                <w:rFonts w:ascii="宋体" w:hAnsi="宋体" w:eastAsia="宋体" w:cs="宋体"/>
                <w:color w:val="auto"/>
                <w:szCs w:val="21"/>
              </w:rPr>
            </w:pPr>
            <w:r>
              <w:rPr>
                <w:rFonts w:hint="eastAsia" w:ascii="宋体" w:hAnsi="宋体" w:eastAsia="宋体" w:cs="宋体"/>
                <w:color w:val="auto"/>
                <w:szCs w:val="21"/>
              </w:rPr>
              <w:t>（2）通过环境管理体系认证得2分；</w:t>
            </w:r>
          </w:p>
          <w:p>
            <w:pPr>
              <w:rPr>
                <w:rFonts w:ascii="宋体" w:hAnsi="宋体" w:eastAsia="宋体" w:cs="宋体"/>
                <w:color w:val="auto"/>
                <w:szCs w:val="21"/>
              </w:rPr>
            </w:pPr>
            <w:r>
              <w:rPr>
                <w:rFonts w:hint="eastAsia" w:ascii="宋体" w:hAnsi="宋体" w:eastAsia="宋体" w:cs="宋体"/>
                <w:color w:val="auto"/>
                <w:szCs w:val="21"/>
              </w:rPr>
              <w:t>（3）通过职业健康安全管理体系认证得2分。</w:t>
            </w:r>
          </w:p>
          <w:p>
            <w:pPr>
              <w:rPr>
                <w:rFonts w:ascii="宋体" w:hAnsi="宋体" w:eastAsia="宋体" w:cs="宋体"/>
                <w:color w:val="auto"/>
                <w:szCs w:val="21"/>
              </w:rPr>
            </w:pPr>
            <w:r>
              <w:rPr>
                <w:rFonts w:hint="eastAsia" w:ascii="宋体" w:hAnsi="宋体" w:eastAsia="宋体" w:cs="宋体"/>
                <w:color w:val="auto"/>
                <w:szCs w:val="21"/>
              </w:rPr>
              <w:t>（二）证明文件：</w:t>
            </w:r>
          </w:p>
          <w:p>
            <w:pPr>
              <w:rPr>
                <w:rFonts w:ascii="宋体" w:hAnsi="宋体" w:eastAsia="宋体" w:cs="宋体"/>
                <w:color w:val="auto"/>
                <w:szCs w:val="21"/>
              </w:rPr>
            </w:pPr>
            <w:r>
              <w:rPr>
                <w:rFonts w:hint="eastAsia" w:ascii="宋体" w:hAnsi="宋体" w:eastAsia="宋体" w:cs="宋体"/>
                <w:color w:val="auto"/>
                <w:szCs w:val="21"/>
              </w:rPr>
              <w:t>1.提供有效的认证证书扫描件（原件备查）及出具证书官网或全国认证认可信息公共服务平台（http://cx.cnca.cn/）的证书查询记录。认证证书在公开渠道无法查询的，需提供颁发机构的证明材料，证明证书真实有效。</w:t>
            </w:r>
          </w:p>
          <w:p>
            <w:pPr>
              <w:rPr>
                <w:rFonts w:ascii="宋体" w:hAnsi="宋体" w:eastAsia="宋体" w:cs="宋体"/>
                <w:color w:val="auto"/>
                <w:szCs w:val="21"/>
              </w:rPr>
            </w:pPr>
            <w:r>
              <w:rPr>
                <w:rFonts w:hint="eastAsia" w:ascii="宋体" w:hAnsi="宋体" w:eastAsia="宋体" w:cs="宋体"/>
                <w:color w:val="auto"/>
                <w:szCs w:val="21"/>
              </w:rPr>
              <w:t>2.以上资料均要求提供扫描件，原件备查。评分中出现无证明资料或专家无法凭所提供资料判断是否得分的情况，一律作不得分处理。</w:t>
            </w:r>
          </w:p>
          <w:p>
            <w:pPr>
              <w:rPr>
                <w:rFonts w:ascii="宋体" w:hAnsi="宋体" w:eastAsia="宋体" w:cs="宋体"/>
                <w:color w:val="auto"/>
                <w:szCs w:val="21"/>
              </w:rPr>
            </w:pPr>
            <w:r>
              <w:rPr>
                <w:rFonts w:hint="eastAsia" w:ascii="宋体" w:hAnsi="宋体" w:eastAsia="宋体" w:cs="宋体"/>
                <w:color w:val="auto"/>
                <w:szCs w:val="21"/>
              </w:rPr>
              <w:t>3.由社会组织颁发的奖项，还需同时提供该组织在“中国社会组织政务服务平台（全国社会组织信用信息公示平台）https://chinanpo.mca.gov.cn/”的查询截图（截图需体现网址且状态为正常），否则该奖项不得分。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tabs>
                <w:tab w:val="left" w:pos="4995"/>
              </w:tabs>
              <w:jc w:val="center"/>
              <w:rPr>
                <w:rFonts w:ascii="宋体" w:hAnsi="宋体" w:eastAsia="宋体" w:cs="宋体"/>
                <w:color w:val="auto"/>
                <w:szCs w:val="21"/>
              </w:rPr>
            </w:pPr>
            <w:r>
              <w:rPr>
                <w:rFonts w:hint="eastAsia" w:ascii="宋体" w:hAnsi="宋体" w:eastAsia="宋体" w:cs="宋体"/>
                <w:color w:val="auto"/>
                <w:szCs w:val="21"/>
              </w:rPr>
              <w:t>同类项目业绩</w:t>
            </w:r>
          </w:p>
        </w:tc>
        <w:tc>
          <w:tcPr>
            <w:tcW w:w="708" w:type="dxa"/>
            <w:vAlign w:val="center"/>
          </w:tcPr>
          <w:p>
            <w:pPr>
              <w:tabs>
                <w:tab w:val="left" w:pos="4995"/>
              </w:tabs>
              <w:jc w:val="center"/>
              <w:rPr>
                <w:rFonts w:ascii="宋体" w:hAnsi="宋体" w:eastAsia="宋体" w:cs="宋体"/>
                <w:color w:val="auto"/>
                <w:szCs w:val="21"/>
              </w:rPr>
            </w:pPr>
            <w:r>
              <w:rPr>
                <w:rFonts w:hint="eastAsia" w:ascii="宋体" w:hAnsi="宋体" w:eastAsia="宋体" w:cs="宋体"/>
                <w:color w:val="auto"/>
                <w:szCs w:val="21"/>
              </w:rPr>
              <w:t>5</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（一）评审标准：</w:t>
            </w:r>
          </w:p>
          <w:p>
            <w:pPr>
              <w:rPr>
                <w:rFonts w:ascii="宋体" w:hAnsi="宋体" w:eastAsia="宋体" w:cs="宋体"/>
                <w:color w:val="auto"/>
                <w:szCs w:val="21"/>
              </w:rPr>
            </w:pPr>
            <w:r>
              <w:rPr>
                <w:rFonts w:hint="eastAsia" w:ascii="宋体" w:hAnsi="宋体" w:eastAsia="宋体" w:cs="宋体"/>
                <w:color w:val="auto"/>
                <w:szCs w:val="21"/>
              </w:rPr>
              <w:t>投标人近三年（2021年11月1日至投标截止时间，以合同签订时间为准），具有已完成的同类服务项目业绩，每提供一项得1分，满分5分。</w:t>
            </w:r>
          </w:p>
          <w:p>
            <w:pPr>
              <w:rPr>
                <w:rFonts w:ascii="宋体" w:hAnsi="宋体" w:eastAsia="宋体" w:cs="宋体"/>
                <w:color w:val="auto"/>
                <w:szCs w:val="21"/>
              </w:rPr>
            </w:pPr>
            <w:r>
              <w:rPr>
                <w:rFonts w:hint="eastAsia" w:ascii="宋体" w:hAnsi="宋体" w:eastAsia="宋体" w:cs="宋体"/>
                <w:color w:val="auto"/>
                <w:szCs w:val="21"/>
              </w:rPr>
              <w:t>（二）证明文件：</w:t>
            </w:r>
          </w:p>
          <w:p>
            <w:pPr>
              <w:rPr>
                <w:rFonts w:ascii="宋体" w:hAnsi="宋体" w:eastAsia="宋体" w:cs="宋体"/>
                <w:color w:val="auto"/>
                <w:szCs w:val="21"/>
              </w:rPr>
            </w:pPr>
            <w:r>
              <w:rPr>
                <w:rFonts w:hint="eastAsia" w:ascii="宋体" w:hAnsi="宋体" w:eastAsia="宋体" w:cs="宋体"/>
                <w:color w:val="auto"/>
                <w:szCs w:val="21"/>
              </w:rPr>
              <w:t>投标人须提供项目合同及中标（成交）通知书复印件（原件备查），加盖投标人公章。不满足或未提供证明文件者，不得分。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tabs>
                <w:tab w:val="left" w:pos="4995"/>
              </w:tabs>
              <w:jc w:val="center"/>
              <w:rPr>
                <w:rFonts w:ascii="宋体" w:hAnsi="宋体" w:eastAsia="宋体" w:cs="宋体"/>
                <w:color w:val="auto"/>
                <w:szCs w:val="21"/>
              </w:rPr>
            </w:pPr>
            <w:r>
              <w:rPr>
                <w:rFonts w:hint="eastAsia" w:ascii="宋体" w:hAnsi="宋体" w:eastAsia="宋体" w:cs="宋体"/>
                <w:color w:val="auto"/>
                <w:szCs w:val="21"/>
              </w:rPr>
              <w:t>履约评价</w:t>
            </w:r>
          </w:p>
        </w:tc>
        <w:tc>
          <w:tcPr>
            <w:tcW w:w="708" w:type="dxa"/>
            <w:vAlign w:val="center"/>
          </w:tcPr>
          <w:p>
            <w:pPr>
              <w:tabs>
                <w:tab w:val="left" w:pos="4995"/>
              </w:tabs>
              <w:jc w:val="center"/>
              <w:rPr>
                <w:rFonts w:ascii="宋体" w:hAnsi="宋体" w:eastAsia="宋体" w:cs="宋体"/>
                <w:color w:val="auto"/>
                <w:szCs w:val="21"/>
              </w:rPr>
            </w:pPr>
            <w:r>
              <w:rPr>
                <w:rFonts w:hint="eastAsia" w:ascii="宋体" w:hAnsi="宋体" w:eastAsia="宋体" w:cs="宋体"/>
                <w:color w:val="auto"/>
                <w:szCs w:val="21"/>
              </w:rPr>
              <w:t>5</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（一）评审标准：</w:t>
            </w:r>
          </w:p>
          <w:p>
            <w:pPr>
              <w:rPr>
                <w:rFonts w:ascii="宋体" w:hAnsi="宋体" w:eastAsia="宋体" w:cs="宋体"/>
                <w:color w:val="auto"/>
                <w:szCs w:val="21"/>
              </w:rPr>
            </w:pPr>
            <w:r>
              <w:rPr>
                <w:rFonts w:hint="eastAsia" w:ascii="宋体" w:hAnsi="宋体" w:eastAsia="宋体" w:cs="宋体"/>
                <w:color w:val="auto"/>
                <w:szCs w:val="21"/>
              </w:rPr>
              <w:t xml:space="preserve">投标人提供的符合上面“同类项目业绩”要求的项目业绩，经合同甲方考核评价为优或满意或最高评价的，每提供一项得1分，满分5分。 </w:t>
            </w:r>
          </w:p>
          <w:p>
            <w:pPr>
              <w:rPr>
                <w:rFonts w:ascii="宋体" w:hAnsi="宋体" w:eastAsia="宋体" w:cs="宋体"/>
                <w:color w:val="auto"/>
                <w:szCs w:val="21"/>
              </w:rPr>
            </w:pPr>
            <w:r>
              <w:rPr>
                <w:rFonts w:hint="eastAsia" w:ascii="宋体" w:hAnsi="宋体" w:eastAsia="宋体" w:cs="宋体"/>
                <w:color w:val="auto"/>
                <w:szCs w:val="21"/>
              </w:rPr>
              <w:t>（二）证明文件：</w:t>
            </w:r>
          </w:p>
          <w:p>
            <w:pPr>
              <w:rPr>
                <w:rFonts w:ascii="宋体" w:hAnsi="宋体" w:eastAsia="宋体" w:cs="宋体"/>
                <w:color w:val="auto"/>
                <w:szCs w:val="21"/>
              </w:rPr>
            </w:pPr>
            <w:r>
              <w:rPr>
                <w:rFonts w:hint="eastAsia" w:ascii="宋体" w:hAnsi="宋体" w:eastAsia="宋体" w:cs="宋体"/>
                <w:color w:val="auto"/>
                <w:szCs w:val="21"/>
              </w:rPr>
              <w:t>提供考核评价为优或满意或最高评价的相关证明文件复印件加盖公章，如未按要求提供证明资料的不计分。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拟派项目负责人（仅限一人）</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7</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（一）评审标准：</w:t>
            </w:r>
          </w:p>
          <w:p>
            <w:pPr>
              <w:jc w:val="left"/>
              <w:rPr>
                <w:rFonts w:ascii="宋体" w:hAnsi="宋体" w:eastAsia="宋体" w:cs="宋体"/>
                <w:color w:val="auto"/>
                <w:szCs w:val="21"/>
              </w:rPr>
            </w:pPr>
            <w:r>
              <w:rPr>
                <w:rFonts w:hint="eastAsia" w:ascii="宋体" w:hAnsi="宋体" w:eastAsia="宋体" w:cs="宋体"/>
                <w:color w:val="auto"/>
                <w:szCs w:val="21"/>
              </w:rPr>
              <w:t>1.项目负责人学历：机电类专业本科及以上学历得2分；机电类专业大专学历得1分，高中及以下不得分。本项最高2分。</w:t>
            </w:r>
          </w:p>
          <w:p>
            <w:pPr>
              <w:jc w:val="left"/>
              <w:rPr>
                <w:rFonts w:ascii="宋体" w:hAnsi="宋体" w:eastAsia="宋体" w:cs="宋体"/>
                <w:color w:val="auto"/>
                <w:szCs w:val="21"/>
              </w:rPr>
            </w:pPr>
            <w:r>
              <w:rPr>
                <w:rFonts w:hint="eastAsia" w:ascii="宋体" w:hAnsi="宋体" w:eastAsia="宋体" w:cs="宋体"/>
                <w:color w:val="auto"/>
                <w:szCs w:val="21"/>
              </w:rPr>
              <w:t>2.项目负责人专业等级证书：机电工程或机械相关专业副高级或以上工程师职称得3分，其他不得分。本项最高3分。</w:t>
            </w:r>
          </w:p>
          <w:p>
            <w:pPr>
              <w:jc w:val="left"/>
              <w:rPr>
                <w:rFonts w:ascii="宋体" w:hAnsi="宋体" w:eastAsia="宋体" w:cs="宋体"/>
                <w:color w:val="auto"/>
                <w:szCs w:val="21"/>
              </w:rPr>
            </w:pPr>
            <w:r>
              <w:rPr>
                <w:rFonts w:hint="eastAsia" w:ascii="宋体" w:hAnsi="宋体" w:eastAsia="宋体" w:cs="宋体"/>
                <w:color w:val="auto"/>
                <w:szCs w:val="21"/>
              </w:rPr>
              <w:t>3.项目负责人具有同类项目（担任项目负责人）同等职位5年及以上工作经历得2分。</w:t>
            </w:r>
          </w:p>
          <w:p>
            <w:pPr>
              <w:jc w:val="left"/>
              <w:rPr>
                <w:rFonts w:ascii="宋体" w:hAnsi="宋体" w:eastAsia="宋体" w:cs="宋体"/>
                <w:color w:val="auto"/>
                <w:szCs w:val="21"/>
              </w:rPr>
            </w:pPr>
            <w:r>
              <w:rPr>
                <w:rFonts w:hint="eastAsia" w:ascii="宋体" w:hAnsi="宋体" w:eastAsia="宋体" w:cs="宋体"/>
                <w:color w:val="auto"/>
                <w:szCs w:val="21"/>
              </w:rPr>
              <w:t>以上3项累加得分，最高不超过7分。</w:t>
            </w:r>
          </w:p>
          <w:p>
            <w:pPr>
              <w:rPr>
                <w:rFonts w:ascii="宋体" w:hAnsi="宋体" w:eastAsia="宋体" w:cs="宋体"/>
                <w:color w:val="auto"/>
                <w:szCs w:val="21"/>
              </w:rPr>
            </w:pPr>
            <w:r>
              <w:rPr>
                <w:rFonts w:hint="eastAsia" w:ascii="宋体" w:hAnsi="宋体" w:eastAsia="宋体" w:cs="宋体"/>
                <w:color w:val="auto"/>
                <w:szCs w:val="21"/>
              </w:rPr>
              <w:t>（二）证明文件：</w:t>
            </w:r>
          </w:p>
          <w:p>
            <w:pPr>
              <w:jc w:val="left"/>
              <w:rPr>
                <w:rFonts w:ascii="宋体" w:hAnsi="宋体" w:eastAsia="宋体" w:cs="宋体"/>
                <w:color w:val="auto"/>
                <w:szCs w:val="21"/>
              </w:rPr>
            </w:pPr>
            <w:r>
              <w:rPr>
                <w:rFonts w:hint="eastAsia" w:ascii="宋体" w:hAnsi="宋体" w:eastAsia="宋体" w:cs="宋体"/>
                <w:color w:val="auto"/>
                <w:szCs w:val="21"/>
              </w:rPr>
              <w:t>1.提供相关证书及近三个月任意一月社保局出具的投标人为其缴交社保证明文件复印件加盖公章，原件备查。未提供或无法分辨的不得分。若供应商成立不足三个月的，需提供成立情况说明函（格式自拟），无需提供相关人员社保，亦可得分；若为退休返聘人员，需提供退休证明及劳务合同（或聘用协议），无需提供相关人员社保，亦可得分。</w:t>
            </w:r>
          </w:p>
          <w:p>
            <w:pPr>
              <w:jc w:val="left"/>
              <w:rPr>
                <w:rFonts w:ascii="宋体" w:hAnsi="宋体" w:eastAsia="宋体" w:cs="宋体"/>
                <w:color w:val="auto"/>
                <w:szCs w:val="21"/>
              </w:rPr>
            </w:pPr>
            <w:r>
              <w:rPr>
                <w:rFonts w:hint="eastAsia" w:ascii="宋体" w:hAnsi="宋体" w:eastAsia="宋体" w:cs="宋体"/>
                <w:color w:val="auto"/>
                <w:szCs w:val="21"/>
              </w:rPr>
              <w:t>2.要求提供学历证书的，明确要求投标人提供证书扫描件以及学信网查询记录，并注明原件备查。对于较早颁发的学历证书，学信网无法查询的，除要求提供证书扫描件、注明原件备查外，可在招标文件中要求提供其他佐证材料（如毕业院校、人社部门等颁发机构或监管机构等单位出具的证明）作为可以得分的依据。海外留学人员学历无法通过学信网站查询的，需提供教育部留学服务中心出具的学历认证书及教育部留学服务中心官网查询截图。证明材料均提供扫描件，原件备查。</w:t>
            </w:r>
          </w:p>
          <w:p>
            <w:pPr>
              <w:jc w:val="left"/>
              <w:rPr>
                <w:rFonts w:ascii="宋体" w:hAnsi="宋体" w:eastAsia="宋体" w:cs="宋体"/>
                <w:color w:val="auto"/>
                <w:szCs w:val="21"/>
              </w:rPr>
            </w:pPr>
            <w:r>
              <w:rPr>
                <w:rFonts w:hint="eastAsia" w:ascii="宋体" w:hAnsi="宋体" w:eastAsia="宋体" w:cs="宋体"/>
                <w:color w:val="auto"/>
                <w:szCs w:val="21"/>
              </w:rPr>
              <w:t>3.如涉及考察人员工作经验，要求提供项目合同关键信息作为得分依据，通过合同关键信息无法判断是否得分的，也可以提供能证明得分的其它证明资料，如项目报告或合同甲方出具的证明文件等，需加盖合同甲方公章（或甲方业务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jc w:val="center"/>
              <w:rPr>
                <w:rFonts w:ascii="宋体" w:hAnsi="宋体" w:eastAsia="宋体" w:cs="宋体"/>
                <w:bCs/>
                <w:color w:val="auto"/>
                <w:szCs w:val="21"/>
              </w:rPr>
            </w:pPr>
            <w:r>
              <w:rPr>
                <w:rFonts w:hint="eastAsia" w:ascii="宋体" w:hAnsi="宋体" w:eastAsia="宋体" w:cs="宋体"/>
                <w:color w:val="auto"/>
                <w:szCs w:val="21"/>
              </w:rPr>
              <w:t>拟派项目</w:t>
            </w:r>
            <w:r>
              <w:rPr>
                <w:rFonts w:hint="eastAsia" w:ascii="宋体" w:hAnsi="宋体" w:eastAsia="宋体" w:cs="宋体"/>
                <w:bCs/>
                <w:color w:val="auto"/>
                <w:szCs w:val="21"/>
              </w:rPr>
              <w:t>人员架构（项目负责人除外）</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13</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（一）评审标准：</w:t>
            </w:r>
          </w:p>
          <w:p>
            <w:pPr>
              <w:jc w:val="left"/>
              <w:rPr>
                <w:rFonts w:ascii="宋体" w:hAnsi="宋体" w:eastAsia="宋体" w:cs="宋体"/>
                <w:color w:val="auto"/>
                <w:szCs w:val="21"/>
              </w:rPr>
            </w:pPr>
            <w:r>
              <w:rPr>
                <w:rFonts w:hint="eastAsia" w:ascii="宋体" w:hAnsi="宋体" w:eastAsia="宋体" w:cs="宋体"/>
                <w:color w:val="auto"/>
                <w:szCs w:val="21"/>
              </w:rPr>
              <w:t>1.配备</w:t>
            </w:r>
            <w:r>
              <w:rPr>
                <w:rFonts w:hint="eastAsia" w:ascii="宋体" w:hAnsi="宋体" w:eastAsia="宋体" w:cs="宋体"/>
                <w:color w:val="auto"/>
                <w:szCs w:val="21"/>
                <w:lang w:val="en-US" w:eastAsia="zh-CN"/>
              </w:rPr>
              <w:t>13名及以上维修</w:t>
            </w:r>
            <w:r>
              <w:rPr>
                <w:rFonts w:hint="eastAsia" w:ascii="宋体" w:hAnsi="宋体" w:eastAsia="宋体" w:cs="宋体"/>
                <w:color w:val="auto"/>
                <w:szCs w:val="21"/>
              </w:rPr>
              <w:t>人员</w:t>
            </w:r>
            <w:r>
              <w:rPr>
                <w:rFonts w:hint="eastAsia" w:ascii="宋体" w:hAnsi="宋体" w:eastAsia="宋体" w:cs="宋体"/>
                <w:color w:val="auto"/>
                <w:szCs w:val="21"/>
                <w:lang w:val="en-US" w:eastAsia="zh-CN"/>
              </w:rPr>
              <w:t>得</w:t>
            </w:r>
            <w:r>
              <w:rPr>
                <w:rFonts w:hint="eastAsia" w:ascii="宋体" w:hAnsi="宋体" w:eastAsia="宋体" w:cs="宋体"/>
                <w:color w:val="auto"/>
                <w:szCs w:val="21"/>
              </w:rPr>
              <w:t>13分。</w:t>
            </w:r>
          </w:p>
          <w:p>
            <w:pPr>
              <w:rPr>
                <w:rFonts w:ascii="宋体" w:hAnsi="宋体" w:eastAsia="宋体" w:cs="宋体"/>
                <w:color w:val="auto"/>
                <w:szCs w:val="21"/>
              </w:rPr>
            </w:pPr>
            <w:r>
              <w:rPr>
                <w:rFonts w:hint="eastAsia" w:ascii="宋体" w:hAnsi="宋体" w:eastAsia="宋体" w:cs="宋体"/>
                <w:color w:val="auto"/>
                <w:szCs w:val="21"/>
              </w:rPr>
              <w:t>（二）证明文件：</w:t>
            </w:r>
          </w:p>
          <w:p>
            <w:pPr>
              <w:rPr>
                <w:rFonts w:ascii="宋体" w:hAnsi="宋体" w:eastAsia="宋体" w:cs="宋体"/>
                <w:color w:val="auto"/>
                <w:szCs w:val="21"/>
              </w:rPr>
            </w:pPr>
            <w:r>
              <w:rPr>
                <w:rFonts w:hint="eastAsia" w:ascii="宋体" w:hAnsi="宋体" w:eastAsia="宋体" w:cs="宋体"/>
                <w:color w:val="auto"/>
                <w:szCs w:val="21"/>
              </w:rPr>
              <w:t>1.提供</w:t>
            </w:r>
            <w:r>
              <w:rPr>
                <w:rFonts w:hint="eastAsia" w:ascii="宋体" w:hAnsi="宋体" w:eastAsia="宋体" w:cs="宋体"/>
                <w:color w:val="auto"/>
                <w:szCs w:val="21"/>
                <w:lang w:val="en-US" w:eastAsia="zh-CN"/>
              </w:rPr>
              <w:t>人员配备表</w:t>
            </w:r>
            <w:r>
              <w:rPr>
                <w:rFonts w:hint="eastAsia" w:ascii="宋体" w:hAnsi="宋体" w:eastAsia="宋体" w:cs="宋体"/>
                <w:color w:val="auto"/>
                <w:szCs w:val="21"/>
              </w:rPr>
              <w:t>及近三个月任意一月社保局出具的投标人为其缴交社保证明文件复印件加盖公章，原件备查。若供应商成立不足三个月的，需提供成立情况说明函（格式自拟），无需提供相关人员社保，亦可得分；若为退休返聘人员，需提供退休证明及劳务合同（或聘用协议），无需提供相关人员社保，亦可得分。</w:t>
            </w:r>
          </w:p>
          <w:p>
            <w:pPr>
              <w:rPr>
                <w:rFonts w:ascii="宋体" w:hAnsi="宋体" w:eastAsia="宋体" w:cs="宋体"/>
                <w:color w:val="auto"/>
                <w:szCs w:val="21"/>
              </w:rPr>
            </w:pPr>
            <w:r>
              <w:rPr>
                <w:rFonts w:hint="eastAsia" w:ascii="宋体" w:hAnsi="宋体" w:eastAsia="宋体" w:cs="宋体"/>
                <w:color w:val="auto"/>
                <w:szCs w:val="21"/>
              </w:rPr>
              <w:t>2.以上证明文件未提供或无法分辨或不满足的不得分。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备品备件</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5</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（一）评审标准：</w:t>
            </w:r>
          </w:p>
          <w:p>
            <w:pPr>
              <w:rPr>
                <w:rFonts w:ascii="宋体" w:hAnsi="宋体" w:eastAsia="宋体" w:cs="宋体"/>
                <w:color w:val="auto"/>
                <w:szCs w:val="21"/>
              </w:rPr>
            </w:pPr>
            <w:r>
              <w:rPr>
                <w:rFonts w:hint="eastAsia" w:ascii="宋体" w:hAnsi="宋体" w:eastAsia="宋体" w:cs="宋体"/>
                <w:color w:val="auto"/>
                <w:szCs w:val="21"/>
              </w:rPr>
              <w:t>能针对维护项目特点，建立种类齐全的备品备件库。</w:t>
            </w:r>
          </w:p>
          <w:p>
            <w:pPr>
              <w:rPr>
                <w:rFonts w:ascii="宋体" w:hAnsi="宋体" w:eastAsia="宋体" w:cs="宋体"/>
                <w:color w:val="auto"/>
                <w:szCs w:val="21"/>
              </w:rPr>
            </w:pPr>
            <w:r>
              <w:rPr>
                <w:rFonts w:hint="eastAsia" w:ascii="宋体" w:hAnsi="宋体" w:eastAsia="宋体" w:cs="宋体"/>
                <w:color w:val="auto"/>
                <w:szCs w:val="21"/>
              </w:rPr>
              <w:t>1.承诺备品备件2小时内可抵达维护现场，得2分；</w:t>
            </w:r>
          </w:p>
          <w:p>
            <w:pPr>
              <w:rPr>
                <w:rFonts w:ascii="宋体" w:hAnsi="宋体" w:eastAsia="宋体" w:cs="宋体"/>
                <w:color w:val="auto"/>
                <w:szCs w:val="21"/>
              </w:rPr>
            </w:pPr>
            <w:r>
              <w:rPr>
                <w:rFonts w:hint="eastAsia" w:ascii="宋体" w:hAnsi="宋体" w:eastAsia="宋体" w:cs="宋体"/>
                <w:color w:val="auto"/>
                <w:szCs w:val="21"/>
              </w:rPr>
              <w:t>2.承诺针对本项目提供电梯配件易损件，清单详见《评分表附件》。</w:t>
            </w:r>
          </w:p>
          <w:p>
            <w:pPr>
              <w:rPr>
                <w:rFonts w:ascii="宋体" w:hAnsi="宋体" w:eastAsia="宋体" w:cs="宋体"/>
                <w:color w:val="auto"/>
                <w:szCs w:val="21"/>
              </w:rPr>
            </w:pPr>
            <w:r>
              <w:rPr>
                <w:rFonts w:hint="eastAsia" w:ascii="宋体" w:hAnsi="宋体" w:eastAsia="宋体" w:cs="宋体"/>
                <w:color w:val="auto"/>
                <w:szCs w:val="21"/>
              </w:rPr>
              <w:t>（1）满足配备清单要求15项的得3分；</w:t>
            </w:r>
          </w:p>
          <w:p>
            <w:pPr>
              <w:rPr>
                <w:rFonts w:ascii="宋体" w:hAnsi="宋体" w:eastAsia="宋体" w:cs="宋体"/>
                <w:color w:val="auto"/>
                <w:szCs w:val="21"/>
              </w:rPr>
            </w:pPr>
            <w:r>
              <w:rPr>
                <w:rFonts w:hint="eastAsia" w:ascii="宋体" w:hAnsi="宋体" w:eastAsia="宋体" w:cs="宋体"/>
                <w:color w:val="auto"/>
                <w:szCs w:val="21"/>
              </w:rPr>
              <w:t>（2）满足配备清单要求10-14项的得2分；</w:t>
            </w:r>
          </w:p>
          <w:p>
            <w:pPr>
              <w:rPr>
                <w:rFonts w:ascii="宋体" w:hAnsi="宋体" w:eastAsia="宋体" w:cs="宋体"/>
                <w:color w:val="auto"/>
                <w:szCs w:val="21"/>
              </w:rPr>
            </w:pPr>
            <w:r>
              <w:rPr>
                <w:rFonts w:hint="eastAsia" w:ascii="宋体" w:hAnsi="宋体" w:eastAsia="宋体" w:cs="宋体"/>
                <w:color w:val="auto"/>
                <w:szCs w:val="21"/>
              </w:rPr>
              <w:t>（3）其他不得分。</w:t>
            </w:r>
          </w:p>
          <w:p>
            <w:pPr>
              <w:rPr>
                <w:rFonts w:ascii="宋体" w:hAnsi="宋体" w:eastAsia="宋体" w:cs="宋体"/>
                <w:color w:val="auto"/>
                <w:szCs w:val="21"/>
              </w:rPr>
            </w:pPr>
            <w:r>
              <w:rPr>
                <w:rFonts w:hint="eastAsia" w:ascii="宋体" w:hAnsi="宋体" w:eastAsia="宋体" w:cs="宋体"/>
                <w:color w:val="auto"/>
                <w:szCs w:val="21"/>
              </w:rPr>
              <w:t>以上2项累加得分，最高不超过5分。</w:t>
            </w:r>
          </w:p>
          <w:p>
            <w:pPr>
              <w:rPr>
                <w:rFonts w:ascii="宋体" w:hAnsi="宋体" w:eastAsia="宋体" w:cs="宋体"/>
                <w:color w:val="auto"/>
                <w:szCs w:val="21"/>
              </w:rPr>
            </w:pPr>
            <w:r>
              <w:rPr>
                <w:rFonts w:hint="eastAsia" w:ascii="宋体" w:hAnsi="宋体" w:eastAsia="宋体" w:cs="宋体"/>
                <w:color w:val="auto"/>
                <w:szCs w:val="21"/>
              </w:rPr>
              <w:t>（二）证明文件：</w:t>
            </w:r>
          </w:p>
          <w:p>
            <w:pPr>
              <w:rPr>
                <w:rFonts w:ascii="宋体" w:hAnsi="宋体" w:eastAsia="宋体" w:cs="宋体"/>
                <w:color w:val="auto"/>
                <w:szCs w:val="21"/>
              </w:rPr>
            </w:pPr>
            <w:r>
              <w:rPr>
                <w:rFonts w:hint="eastAsia" w:ascii="宋体" w:hAnsi="宋体" w:eastAsia="宋体" w:cs="宋体"/>
                <w:color w:val="auto"/>
                <w:szCs w:val="21"/>
              </w:rPr>
              <w:t>要求提供加盖公章的承诺函（格式自定）作为得分依据，未提供承诺或承诺内容不满足要求不得分。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应急救援</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5</w:t>
            </w:r>
          </w:p>
        </w:tc>
        <w:tc>
          <w:tcPr>
            <w:tcW w:w="5387" w:type="dxa"/>
            <w:vAlign w:val="center"/>
          </w:tcPr>
          <w:p>
            <w:pPr>
              <w:rPr>
                <w:rFonts w:ascii="宋体" w:hAnsi="宋体" w:eastAsia="宋体" w:cs="宋体"/>
                <w:color w:val="auto"/>
                <w:szCs w:val="21"/>
              </w:rPr>
            </w:pPr>
            <w:r>
              <w:rPr>
                <w:rFonts w:hint="eastAsia" w:ascii="宋体" w:hAnsi="宋体" w:eastAsia="宋体" w:cs="宋体"/>
                <w:color w:val="auto"/>
                <w:szCs w:val="21"/>
              </w:rPr>
              <w:t>（一）评审标准：</w:t>
            </w:r>
          </w:p>
          <w:p>
            <w:pPr>
              <w:jc w:val="left"/>
              <w:rPr>
                <w:rFonts w:ascii="宋体" w:hAnsi="宋体" w:eastAsia="宋体" w:cs="宋体"/>
                <w:color w:val="auto"/>
                <w:szCs w:val="21"/>
              </w:rPr>
            </w:pPr>
            <w:r>
              <w:rPr>
                <w:rFonts w:hint="eastAsia" w:ascii="宋体" w:hAnsi="宋体" w:eastAsia="宋体" w:cs="宋体"/>
                <w:color w:val="auto"/>
                <w:szCs w:val="21"/>
              </w:rPr>
              <w:t>1.困人响应时间：电梯困人时30分钟内到达，</w:t>
            </w:r>
            <w:bookmarkStart w:id="7" w:name="OLE_LINK3"/>
            <w:r>
              <w:rPr>
                <w:rFonts w:hint="eastAsia" w:ascii="宋体" w:hAnsi="宋体" w:eastAsia="宋体" w:cs="宋体"/>
                <w:color w:val="auto"/>
                <w:szCs w:val="21"/>
              </w:rPr>
              <w:t>到达后10分钟将被困人员安全救出，特殊情况不得超过60分钟</w:t>
            </w:r>
            <w:bookmarkEnd w:id="7"/>
            <w:r>
              <w:rPr>
                <w:rFonts w:hint="eastAsia" w:ascii="宋体" w:hAnsi="宋体" w:eastAsia="宋体" w:cs="宋体"/>
                <w:color w:val="auto"/>
                <w:szCs w:val="21"/>
              </w:rPr>
              <w:t>。</w:t>
            </w:r>
          </w:p>
          <w:p>
            <w:pPr>
              <w:jc w:val="left"/>
              <w:rPr>
                <w:rFonts w:ascii="宋体" w:hAnsi="宋体" w:eastAsia="宋体" w:cs="宋体"/>
                <w:color w:val="auto"/>
                <w:szCs w:val="21"/>
              </w:rPr>
            </w:pPr>
            <w:r>
              <w:rPr>
                <w:rFonts w:hint="eastAsia" w:ascii="宋体" w:hAnsi="宋体" w:eastAsia="宋体" w:cs="宋体"/>
                <w:color w:val="auto"/>
                <w:szCs w:val="21"/>
              </w:rPr>
              <w:t>满足或优于并提供加盖公章的承诺函（格式自拟）得3分，未提供或不满足不得分。</w:t>
            </w:r>
          </w:p>
          <w:p>
            <w:pPr>
              <w:jc w:val="left"/>
              <w:rPr>
                <w:rFonts w:ascii="宋体" w:hAnsi="宋体" w:eastAsia="宋体" w:cs="宋体"/>
                <w:color w:val="auto"/>
                <w:szCs w:val="21"/>
              </w:rPr>
            </w:pPr>
            <w:r>
              <w:rPr>
                <w:rFonts w:hint="eastAsia" w:ascii="宋体" w:hAnsi="宋体" w:eastAsia="宋体" w:cs="宋体"/>
                <w:color w:val="auto"/>
                <w:szCs w:val="21"/>
              </w:rPr>
              <w:t>2.维修响应时间：</w:t>
            </w:r>
            <w:bookmarkStart w:id="8" w:name="OLE_LINK4"/>
            <w:r>
              <w:rPr>
                <w:rFonts w:hint="eastAsia" w:ascii="宋体" w:hAnsi="宋体" w:eastAsia="宋体" w:cs="宋体"/>
                <w:color w:val="auto"/>
                <w:szCs w:val="21"/>
              </w:rPr>
              <w:t>电梯故障时40分钟内到达</w:t>
            </w:r>
            <w:bookmarkEnd w:id="8"/>
            <w:r>
              <w:rPr>
                <w:rFonts w:hint="eastAsia" w:ascii="宋体" w:hAnsi="宋体" w:eastAsia="宋体" w:cs="宋体"/>
                <w:color w:val="auto"/>
                <w:szCs w:val="21"/>
              </w:rPr>
              <w:t>，到达后一般性故障1小时内完成修复，特殊性故障2小时内完成修复。</w:t>
            </w:r>
          </w:p>
          <w:p>
            <w:pPr>
              <w:jc w:val="left"/>
              <w:rPr>
                <w:rFonts w:ascii="宋体" w:hAnsi="宋体" w:eastAsia="宋体" w:cs="宋体"/>
                <w:color w:val="auto"/>
                <w:szCs w:val="21"/>
              </w:rPr>
            </w:pPr>
            <w:r>
              <w:rPr>
                <w:rFonts w:hint="eastAsia" w:ascii="宋体" w:hAnsi="宋体" w:eastAsia="宋体" w:cs="宋体"/>
                <w:color w:val="auto"/>
                <w:szCs w:val="21"/>
              </w:rPr>
              <w:t>满足或优于并提供加盖公章的承诺函（格式自拟）得2分，未提供或不满足不得分。</w:t>
            </w:r>
          </w:p>
          <w:p>
            <w:pPr>
              <w:rPr>
                <w:rFonts w:ascii="宋体" w:hAnsi="宋体" w:eastAsia="宋体" w:cs="宋体"/>
                <w:color w:val="auto"/>
                <w:szCs w:val="21"/>
              </w:rPr>
            </w:pPr>
            <w:r>
              <w:rPr>
                <w:rFonts w:hint="eastAsia" w:ascii="宋体" w:hAnsi="宋体" w:eastAsia="宋体" w:cs="宋体"/>
                <w:color w:val="auto"/>
                <w:szCs w:val="21"/>
              </w:rPr>
              <w:t>以上2项累加得分，最高不超过5分。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Merge w:val="continue"/>
            <w:vAlign w:val="center"/>
          </w:tcPr>
          <w:p>
            <w:pPr>
              <w:jc w:val="center"/>
              <w:rPr>
                <w:rFonts w:ascii="宋体" w:hAnsi="宋体" w:eastAsia="宋体" w:cs="宋体"/>
                <w:color w:val="auto"/>
                <w:szCs w:val="21"/>
              </w:rPr>
            </w:pPr>
          </w:p>
        </w:tc>
        <w:tc>
          <w:tcPr>
            <w:tcW w:w="1446"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售后服务</w:t>
            </w:r>
          </w:p>
        </w:tc>
        <w:tc>
          <w:tcPr>
            <w:tcW w:w="708"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4</w:t>
            </w:r>
          </w:p>
        </w:tc>
        <w:tc>
          <w:tcPr>
            <w:tcW w:w="5387" w:type="dxa"/>
          </w:tcPr>
          <w:p>
            <w:pPr>
              <w:rPr>
                <w:rFonts w:ascii="宋体" w:hAnsi="宋体" w:eastAsia="宋体" w:cs="宋体"/>
                <w:color w:val="auto"/>
                <w:szCs w:val="21"/>
              </w:rPr>
            </w:pPr>
            <w:r>
              <w:rPr>
                <w:rFonts w:hint="eastAsia" w:ascii="宋体" w:hAnsi="宋体" w:eastAsia="宋体" w:cs="宋体"/>
                <w:color w:val="auto"/>
                <w:szCs w:val="21"/>
              </w:rPr>
              <w:t>（一）评审标准：</w:t>
            </w:r>
          </w:p>
          <w:p>
            <w:pPr>
              <w:rPr>
                <w:rFonts w:ascii="宋体" w:hAnsi="宋体" w:eastAsia="宋体" w:cs="宋体"/>
                <w:color w:val="auto"/>
                <w:szCs w:val="21"/>
              </w:rPr>
            </w:pPr>
            <w:r>
              <w:rPr>
                <w:rFonts w:hint="eastAsia" w:ascii="宋体" w:hAnsi="宋体" w:eastAsia="宋体" w:cs="宋体"/>
                <w:color w:val="auto"/>
                <w:szCs w:val="21"/>
              </w:rPr>
              <w:t>1.质量保证措施具体完善，有完善的售后服务，各阶段服务计划详尽，质保期、维护保养期服务（包括费用）承诺可靠、具体，得4分；</w:t>
            </w:r>
          </w:p>
          <w:p>
            <w:pPr>
              <w:rPr>
                <w:rFonts w:ascii="宋体" w:hAnsi="宋体" w:eastAsia="宋体" w:cs="宋体"/>
                <w:color w:val="auto"/>
                <w:szCs w:val="21"/>
              </w:rPr>
            </w:pPr>
            <w:r>
              <w:rPr>
                <w:rFonts w:hint="eastAsia" w:ascii="宋体" w:hAnsi="宋体" w:eastAsia="宋体" w:cs="宋体"/>
                <w:color w:val="auto"/>
                <w:szCs w:val="21"/>
              </w:rPr>
              <w:t>2.有完善的售后服务，各阶段服务计划大体详尽，质保期、维护保养期服务（包括费用）承诺可靠、具体，得2分；</w:t>
            </w:r>
          </w:p>
          <w:p>
            <w:pPr>
              <w:rPr>
                <w:rFonts w:ascii="宋体" w:hAnsi="宋体" w:eastAsia="宋体" w:cs="宋体"/>
                <w:color w:val="auto"/>
                <w:szCs w:val="21"/>
              </w:rPr>
            </w:pPr>
            <w:r>
              <w:rPr>
                <w:rFonts w:hint="eastAsia" w:ascii="宋体" w:hAnsi="宋体" w:eastAsia="宋体" w:cs="宋体"/>
                <w:color w:val="auto"/>
                <w:szCs w:val="21"/>
              </w:rPr>
              <w:t>3.质量保证措施基本满足，服务计划和质保期、维护保养期限服务（包括费用）没有具体承诺或没有响应，得1分。</w:t>
            </w:r>
          </w:p>
          <w:p>
            <w:pPr>
              <w:rPr>
                <w:rFonts w:ascii="宋体" w:hAnsi="宋体" w:eastAsia="宋体" w:cs="宋体"/>
                <w:color w:val="auto"/>
                <w:szCs w:val="21"/>
              </w:rPr>
            </w:pPr>
            <w:r>
              <w:rPr>
                <w:rFonts w:hint="eastAsia" w:ascii="宋体" w:hAnsi="宋体" w:eastAsia="宋体" w:cs="宋体"/>
                <w:color w:val="auto"/>
                <w:szCs w:val="21"/>
              </w:rPr>
              <w:t>以上3项不累加得分，最高不超过4分。</w:t>
            </w:r>
          </w:p>
          <w:p>
            <w:pPr>
              <w:rPr>
                <w:rFonts w:ascii="宋体" w:hAnsi="宋体" w:eastAsia="宋体" w:cs="宋体"/>
                <w:color w:val="auto"/>
                <w:szCs w:val="21"/>
              </w:rPr>
            </w:pPr>
            <w:r>
              <w:rPr>
                <w:rFonts w:hint="eastAsia" w:ascii="宋体" w:hAnsi="宋体" w:eastAsia="宋体" w:cs="宋体"/>
                <w:color w:val="auto"/>
                <w:szCs w:val="21"/>
              </w:rPr>
              <w:t>（二）证明文件：</w:t>
            </w:r>
          </w:p>
          <w:p>
            <w:pPr>
              <w:rPr>
                <w:rFonts w:ascii="宋体" w:hAnsi="宋体" w:eastAsia="宋体" w:cs="宋体"/>
                <w:color w:val="auto"/>
                <w:szCs w:val="21"/>
              </w:rPr>
            </w:pPr>
            <w:r>
              <w:rPr>
                <w:rFonts w:hint="eastAsia" w:ascii="宋体" w:hAnsi="宋体" w:eastAsia="宋体" w:cs="宋体"/>
                <w:color w:val="auto"/>
                <w:szCs w:val="21"/>
              </w:rPr>
              <w:t>要求提供加盖公章的承诺函（格式自定）作为得分依据，未提供承诺或承诺内容不满足要求不得分。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right"/>
        </w:trPr>
        <w:tc>
          <w:tcPr>
            <w:tcW w:w="1532" w:type="dxa"/>
            <w:vAlign w:val="center"/>
          </w:tcPr>
          <w:p>
            <w:pPr>
              <w:jc w:val="center"/>
              <w:rPr>
                <w:rFonts w:ascii="宋体" w:hAnsi="宋体" w:eastAsia="宋体" w:cs="宋体"/>
                <w:color w:val="auto"/>
                <w:szCs w:val="21"/>
              </w:rPr>
            </w:pPr>
            <w:r>
              <w:rPr>
                <w:rFonts w:hint="eastAsia" w:ascii="宋体" w:hAnsi="宋体" w:eastAsia="宋体" w:cs="宋体"/>
                <w:color w:val="auto"/>
                <w:szCs w:val="21"/>
              </w:rPr>
              <w:t>评标总得分</w:t>
            </w:r>
          </w:p>
          <w:p>
            <w:pPr>
              <w:jc w:val="center"/>
              <w:rPr>
                <w:rFonts w:ascii="宋体" w:hAnsi="宋体" w:eastAsia="宋体" w:cs="宋体"/>
                <w:color w:val="auto"/>
                <w:szCs w:val="21"/>
              </w:rPr>
            </w:pPr>
            <w:r>
              <w:rPr>
                <w:rFonts w:hint="eastAsia" w:ascii="宋体" w:hAnsi="宋体" w:eastAsia="宋体" w:cs="宋体"/>
                <w:color w:val="auto"/>
                <w:szCs w:val="21"/>
              </w:rPr>
              <w:t>（总分100分）</w:t>
            </w:r>
          </w:p>
        </w:tc>
        <w:tc>
          <w:tcPr>
            <w:tcW w:w="7541" w:type="dxa"/>
            <w:gridSpan w:val="3"/>
            <w:vAlign w:val="center"/>
          </w:tcPr>
          <w:p>
            <w:pPr>
              <w:jc w:val="center"/>
              <w:rPr>
                <w:rFonts w:ascii="宋体" w:hAnsi="宋体" w:eastAsia="宋体" w:cs="宋体"/>
                <w:color w:val="auto"/>
                <w:szCs w:val="21"/>
              </w:rPr>
            </w:pPr>
            <w:r>
              <w:rPr>
                <w:rFonts w:hint="eastAsia" w:ascii="宋体" w:hAnsi="宋体" w:eastAsia="宋体" w:cs="宋体"/>
                <w:color w:val="auto"/>
                <w:szCs w:val="21"/>
              </w:rPr>
              <w:t>技术标+商务标+价格标</w:t>
            </w:r>
          </w:p>
        </w:tc>
      </w:tr>
    </w:tbl>
    <w:p>
      <w:pPr>
        <w:widowControl/>
        <w:shd w:val="clear" w:color="auto" w:fill="FFFFFF"/>
        <w:adjustRightInd w:val="0"/>
        <w:snapToGrid w:val="0"/>
        <w:rPr>
          <w:rFonts w:ascii="宋体" w:hAnsi="Times New Roman" w:eastAsia="宋体" w:cs="宋体"/>
          <w:kern w:val="0"/>
          <w:szCs w:val="24"/>
        </w:rPr>
      </w:pPr>
      <w:r>
        <w:rPr>
          <w:rFonts w:hint="eastAsia" w:ascii="宋体" w:hAnsi="Times New Roman" w:eastAsia="宋体" w:cs="宋体"/>
          <w:kern w:val="0"/>
          <w:szCs w:val="24"/>
        </w:rPr>
        <w:t>备注：</w:t>
      </w:r>
    </w:p>
    <w:p>
      <w:pPr>
        <w:widowControl/>
        <w:shd w:val="clear" w:color="auto" w:fill="FFFFFF"/>
        <w:adjustRightInd w:val="0"/>
        <w:snapToGrid w:val="0"/>
        <w:ind w:firstLine="420" w:firstLineChars="200"/>
        <w:rPr>
          <w:rFonts w:ascii="宋体" w:hAnsi="Times New Roman" w:eastAsia="宋体" w:cs="宋体"/>
          <w:kern w:val="0"/>
          <w:szCs w:val="24"/>
        </w:rPr>
      </w:pPr>
      <w:r>
        <w:rPr>
          <w:rFonts w:hint="eastAsia" w:ascii="宋体" w:hAnsi="Times New Roman" w:eastAsia="宋体" w:cs="宋体"/>
          <w:kern w:val="0"/>
          <w:szCs w:val="24"/>
        </w:rPr>
        <w:t>1. 缺项则该项为0分或不合格为0分。</w:t>
      </w:r>
    </w:p>
    <w:p>
      <w:pPr>
        <w:widowControl/>
        <w:shd w:val="clear" w:color="auto" w:fill="FFFFFF"/>
        <w:adjustRightInd w:val="0"/>
        <w:snapToGrid w:val="0"/>
        <w:ind w:firstLine="420" w:firstLineChars="200"/>
        <w:rPr>
          <w:rFonts w:ascii="宋体" w:hAnsi="Times New Roman" w:eastAsia="宋体" w:cs="宋体"/>
          <w:kern w:val="0"/>
          <w:szCs w:val="24"/>
        </w:rPr>
      </w:pPr>
      <w:r>
        <w:rPr>
          <w:rFonts w:hint="eastAsia" w:ascii="宋体" w:hAnsi="Times New Roman" w:eastAsia="宋体" w:cs="宋体"/>
          <w:kern w:val="0"/>
          <w:szCs w:val="24"/>
        </w:rPr>
        <w:t>2.</w:t>
      </w:r>
      <w:r>
        <w:rPr>
          <w:rFonts w:ascii="宋体" w:hAnsi="Times New Roman" w:eastAsia="宋体" w:cs="宋体"/>
          <w:kern w:val="0"/>
          <w:szCs w:val="24"/>
        </w:rPr>
        <w:t xml:space="preserve"> 价格、技术、商务部分为针对项目具体情况设置项目，累加满分为100分，固定额外加分部分为固定设置项，对涉及政策导向优先采购产品进行额外加分</w:t>
      </w:r>
      <w:r>
        <w:rPr>
          <w:rFonts w:hint="eastAsia" w:ascii="宋体" w:hAnsi="Times New Roman" w:eastAsia="宋体" w:cs="宋体"/>
          <w:kern w:val="0"/>
          <w:szCs w:val="24"/>
        </w:rPr>
        <w:t>。</w:t>
      </w:r>
    </w:p>
    <w:p>
      <w:pPr>
        <w:widowControl/>
        <w:shd w:val="clear" w:color="auto" w:fill="FFFFFF"/>
        <w:adjustRightInd w:val="0"/>
        <w:snapToGrid w:val="0"/>
        <w:ind w:firstLine="420" w:firstLineChars="200"/>
        <w:rPr>
          <w:rFonts w:ascii="宋体" w:hAnsi="Times New Roman" w:eastAsia="宋体" w:cs="宋体"/>
          <w:kern w:val="0"/>
          <w:szCs w:val="24"/>
        </w:rPr>
      </w:pPr>
      <w:r>
        <w:rPr>
          <w:rFonts w:hint="eastAsia" w:ascii="宋体" w:hAnsi="Times New Roman" w:eastAsia="宋体" w:cs="宋体"/>
          <w:kern w:val="0"/>
          <w:szCs w:val="24"/>
        </w:rPr>
        <w:t>3. 综合以上分析比较，评委会将对各投标文件进行书面的量化评定，得分</w:t>
      </w:r>
      <w:r>
        <w:rPr>
          <w:rFonts w:ascii="宋体" w:hAnsi="Times New Roman" w:eastAsia="宋体" w:cs="宋体"/>
          <w:kern w:val="0"/>
          <w:szCs w:val="24"/>
        </w:rPr>
        <w:t>精确到小数点后两位</w:t>
      </w:r>
      <w:r>
        <w:rPr>
          <w:rFonts w:hint="eastAsia" w:ascii="宋体" w:hAnsi="Times New Roman" w:eastAsia="宋体" w:cs="宋体"/>
          <w:kern w:val="0"/>
          <w:szCs w:val="24"/>
        </w:rPr>
        <w:t>。</w:t>
      </w:r>
    </w:p>
    <w:p>
      <w:pPr>
        <w:widowControl/>
        <w:shd w:val="clear" w:color="auto" w:fill="FFFFFF"/>
        <w:adjustRightInd w:val="0"/>
        <w:snapToGrid w:val="0"/>
        <w:ind w:firstLine="420" w:firstLineChars="200"/>
        <w:rPr>
          <w:rFonts w:ascii="宋体" w:hAnsi="Times New Roman" w:eastAsia="宋体" w:cs="宋体"/>
          <w:bCs/>
          <w:kern w:val="0"/>
          <w:szCs w:val="24"/>
        </w:rPr>
      </w:pPr>
      <w:r>
        <w:rPr>
          <w:rFonts w:hint="eastAsia" w:ascii="宋体" w:hAnsi="Times New Roman" w:eastAsia="宋体" w:cs="宋体"/>
          <w:bCs/>
          <w:kern w:val="0"/>
          <w:szCs w:val="24"/>
        </w:rPr>
        <w:t>4. 客观评分项，所有评审专家应当统一打分分值；主观评分项，评审专家应当按照打分标准独立打分。</w:t>
      </w:r>
    </w:p>
    <w:p>
      <w:pPr>
        <w:pStyle w:val="63"/>
        <w:widowControl w:val="0"/>
        <w:shd w:val="clear" w:color="auto" w:fill="auto"/>
        <w:tabs>
          <w:tab w:val="clear" w:pos="426"/>
        </w:tabs>
        <w:adjustRightInd/>
        <w:snapToGrid/>
        <w:jc w:val="left"/>
        <w:outlineLvl w:val="0"/>
        <w:rPr>
          <w:rFonts w:ascii="宋体"/>
          <w:bCs w:val="0"/>
          <w:sz w:val="36"/>
          <w:szCs w:val="36"/>
        </w:rPr>
      </w:pPr>
      <w:r>
        <w:rPr>
          <w:rFonts w:ascii="宋体" w:hAnsi="Times New Roman" w:cs="宋体"/>
          <w:kern w:val="0"/>
          <w:szCs w:val="24"/>
        </w:rPr>
        <w:br w:type="page"/>
      </w:r>
      <w:r>
        <w:rPr>
          <w:rFonts w:hint="eastAsia" w:ascii="宋体"/>
          <w:bCs w:val="0"/>
          <w:sz w:val="36"/>
          <w:szCs w:val="36"/>
        </w:rPr>
        <w:t>评分表附件：</w:t>
      </w:r>
    </w:p>
    <w:p>
      <w:pPr>
        <w:jc w:val="center"/>
        <w:rPr>
          <w:rFonts w:ascii="宋体" w:hAnsi="宋体" w:eastAsia="宋体" w:cs="宋体"/>
          <w:b/>
          <w:bCs/>
          <w:sz w:val="32"/>
          <w:szCs w:val="32"/>
        </w:rPr>
      </w:pPr>
      <w:r>
        <w:rPr>
          <w:rFonts w:hint="eastAsia" w:ascii="宋体" w:hAnsi="宋体" w:eastAsia="宋体" w:cs="宋体"/>
          <w:b/>
          <w:bCs/>
          <w:sz w:val="32"/>
          <w:szCs w:val="32"/>
        </w:rPr>
        <w:t>电梯配件易损件清单</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393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序号</w:t>
            </w:r>
          </w:p>
        </w:tc>
        <w:tc>
          <w:tcPr>
            <w:tcW w:w="3937" w:type="dxa"/>
          </w:tcPr>
          <w:p>
            <w:pPr>
              <w:jc w:val="center"/>
              <w:rPr>
                <w:rFonts w:ascii="宋体" w:hAnsi="宋体" w:eastAsia="宋体" w:cs="宋体"/>
                <w:szCs w:val="21"/>
              </w:rPr>
            </w:pPr>
            <w:r>
              <w:rPr>
                <w:rFonts w:hint="eastAsia" w:ascii="宋体" w:hAnsi="宋体" w:eastAsia="宋体" w:cs="宋体"/>
                <w:szCs w:val="21"/>
              </w:rPr>
              <w:t>配件名称</w:t>
            </w:r>
          </w:p>
        </w:tc>
        <w:tc>
          <w:tcPr>
            <w:tcW w:w="2165" w:type="dxa"/>
          </w:tcPr>
          <w:p>
            <w:pPr>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1</w:t>
            </w:r>
          </w:p>
        </w:tc>
        <w:tc>
          <w:tcPr>
            <w:tcW w:w="3937" w:type="dxa"/>
          </w:tcPr>
          <w:p>
            <w:pPr>
              <w:jc w:val="center"/>
              <w:rPr>
                <w:rFonts w:ascii="宋体" w:hAnsi="宋体" w:eastAsia="宋体" w:cs="宋体"/>
                <w:szCs w:val="21"/>
              </w:rPr>
            </w:pPr>
            <w:r>
              <w:rPr>
                <w:rFonts w:hint="eastAsia" w:ascii="宋体" w:hAnsi="宋体" w:eastAsia="宋体" w:cs="宋体"/>
                <w:szCs w:val="21"/>
              </w:rPr>
              <w:t>三菱电梯平层感应器</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2</w:t>
            </w:r>
          </w:p>
        </w:tc>
        <w:tc>
          <w:tcPr>
            <w:tcW w:w="3937" w:type="dxa"/>
          </w:tcPr>
          <w:p>
            <w:pPr>
              <w:jc w:val="center"/>
              <w:rPr>
                <w:rFonts w:ascii="宋体" w:hAnsi="宋体" w:eastAsia="宋体" w:cs="宋体"/>
                <w:szCs w:val="21"/>
              </w:rPr>
            </w:pPr>
            <w:r>
              <w:rPr>
                <w:rFonts w:hint="eastAsia" w:ascii="宋体" w:hAnsi="宋体" w:eastAsia="宋体" w:cs="宋体"/>
                <w:szCs w:val="21"/>
              </w:rPr>
              <w:t>三菱电梯再平层感应器</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3</w:t>
            </w:r>
          </w:p>
        </w:tc>
        <w:tc>
          <w:tcPr>
            <w:tcW w:w="3937" w:type="dxa"/>
          </w:tcPr>
          <w:p>
            <w:pPr>
              <w:jc w:val="center"/>
              <w:rPr>
                <w:rFonts w:ascii="宋体" w:hAnsi="宋体" w:eastAsia="宋体" w:cs="宋体"/>
                <w:szCs w:val="21"/>
              </w:rPr>
            </w:pPr>
            <w:r>
              <w:rPr>
                <w:rFonts w:hint="eastAsia" w:ascii="宋体" w:hAnsi="宋体" w:eastAsia="宋体" w:cs="宋体"/>
                <w:szCs w:val="21"/>
              </w:rPr>
              <w:t>三菱高速电梯强迫换速感应器</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4</w:t>
            </w:r>
          </w:p>
        </w:tc>
        <w:tc>
          <w:tcPr>
            <w:tcW w:w="3937" w:type="dxa"/>
          </w:tcPr>
          <w:p>
            <w:pPr>
              <w:jc w:val="center"/>
              <w:rPr>
                <w:rFonts w:ascii="宋体" w:hAnsi="宋体" w:eastAsia="宋体" w:cs="宋体"/>
                <w:szCs w:val="21"/>
              </w:rPr>
            </w:pPr>
            <w:r>
              <w:rPr>
                <w:rFonts w:hint="eastAsia" w:ascii="宋体" w:hAnsi="宋体" w:eastAsia="宋体" w:cs="宋体"/>
                <w:szCs w:val="21"/>
              </w:rPr>
              <w:t>三菱电梯减速、限位、极限开关</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5</w:t>
            </w:r>
          </w:p>
        </w:tc>
        <w:tc>
          <w:tcPr>
            <w:tcW w:w="3937" w:type="dxa"/>
          </w:tcPr>
          <w:p>
            <w:pPr>
              <w:jc w:val="center"/>
              <w:rPr>
                <w:rFonts w:ascii="宋体" w:hAnsi="宋体" w:eastAsia="宋体" w:cs="宋体"/>
                <w:szCs w:val="21"/>
              </w:rPr>
            </w:pPr>
            <w:r>
              <w:rPr>
                <w:rFonts w:hint="eastAsia" w:ascii="宋体" w:hAnsi="宋体" w:eastAsia="宋体" w:cs="宋体"/>
                <w:szCs w:val="21"/>
              </w:rPr>
              <w:t>三菱电梯开关电源板</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5</w:t>
            </w:r>
          </w:p>
        </w:tc>
        <w:tc>
          <w:tcPr>
            <w:tcW w:w="3937" w:type="dxa"/>
          </w:tcPr>
          <w:p>
            <w:pPr>
              <w:jc w:val="center"/>
              <w:rPr>
                <w:rFonts w:ascii="宋体" w:hAnsi="宋体" w:eastAsia="宋体" w:cs="宋体"/>
                <w:szCs w:val="21"/>
              </w:rPr>
            </w:pPr>
            <w:r>
              <w:rPr>
                <w:rFonts w:hint="eastAsia" w:ascii="宋体" w:hAnsi="宋体" w:eastAsia="宋体" w:cs="宋体"/>
                <w:szCs w:val="21"/>
              </w:rPr>
              <w:t>三菱电梯门机板</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6</w:t>
            </w:r>
          </w:p>
        </w:tc>
        <w:tc>
          <w:tcPr>
            <w:tcW w:w="3937" w:type="dxa"/>
          </w:tcPr>
          <w:p>
            <w:pPr>
              <w:jc w:val="center"/>
              <w:rPr>
                <w:rFonts w:ascii="宋体" w:hAnsi="宋体" w:eastAsia="宋体" w:cs="宋体"/>
                <w:szCs w:val="21"/>
              </w:rPr>
            </w:pPr>
            <w:r>
              <w:rPr>
                <w:rFonts w:hint="eastAsia" w:ascii="宋体" w:hAnsi="宋体" w:eastAsia="宋体" w:cs="宋体"/>
                <w:szCs w:val="21"/>
              </w:rPr>
              <w:t>三菱高速电梯门机驱动板</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7</w:t>
            </w:r>
          </w:p>
        </w:tc>
        <w:tc>
          <w:tcPr>
            <w:tcW w:w="3937" w:type="dxa"/>
          </w:tcPr>
          <w:p>
            <w:pPr>
              <w:jc w:val="center"/>
              <w:rPr>
                <w:rFonts w:ascii="宋体" w:hAnsi="宋体" w:eastAsia="宋体" w:cs="宋体"/>
                <w:szCs w:val="21"/>
              </w:rPr>
            </w:pPr>
            <w:r>
              <w:rPr>
                <w:rFonts w:hint="eastAsia" w:ascii="宋体" w:hAnsi="宋体" w:eastAsia="宋体" w:cs="宋体"/>
                <w:szCs w:val="21"/>
              </w:rPr>
              <w:t>三菱高速电梯门机控制板</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8</w:t>
            </w:r>
          </w:p>
        </w:tc>
        <w:tc>
          <w:tcPr>
            <w:tcW w:w="3937" w:type="dxa"/>
          </w:tcPr>
          <w:p>
            <w:pPr>
              <w:jc w:val="center"/>
              <w:rPr>
                <w:rFonts w:ascii="宋体" w:hAnsi="宋体" w:eastAsia="宋体" w:cs="宋体"/>
                <w:szCs w:val="21"/>
              </w:rPr>
            </w:pPr>
            <w:r>
              <w:rPr>
                <w:rFonts w:hint="eastAsia" w:ascii="宋体" w:hAnsi="宋体" w:eastAsia="宋体" w:cs="宋体"/>
                <w:szCs w:val="21"/>
              </w:rPr>
              <w:t>三菱电梯驱动模块</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9</w:t>
            </w:r>
          </w:p>
        </w:tc>
        <w:tc>
          <w:tcPr>
            <w:tcW w:w="3937" w:type="dxa"/>
          </w:tcPr>
          <w:p>
            <w:pPr>
              <w:jc w:val="center"/>
              <w:rPr>
                <w:rFonts w:ascii="宋体" w:hAnsi="宋体" w:eastAsia="宋体" w:cs="宋体"/>
                <w:szCs w:val="21"/>
              </w:rPr>
            </w:pPr>
            <w:r>
              <w:rPr>
                <w:rFonts w:hint="eastAsia" w:ascii="宋体" w:hAnsi="宋体" w:eastAsia="宋体" w:cs="宋体"/>
                <w:szCs w:val="21"/>
              </w:rPr>
              <w:t>三菱高速电梯驱动模块</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10</w:t>
            </w:r>
          </w:p>
        </w:tc>
        <w:tc>
          <w:tcPr>
            <w:tcW w:w="3937" w:type="dxa"/>
          </w:tcPr>
          <w:p>
            <w:pPr>
              <w:jc w:val="center"/>
              <w:rPr>
                <w:rFonts w:ascii="宋体" w:hAnsi="宋体" w:eastAsia="宋体" w:cs="宋体"/>
                <w:szCs w:val="21"/>
              </w:rPr>
            </w:pPr>
            <w:r>
              <w:rPr>
                <w:rFonts w:hint="eastAsia" w:ascii="宋体" w:hAnsi="宋体" w:eastAsia="宋体" w:cs="宋体"/>
                <w:szCs w:val="21"/>
              </w:rPr>
              <w:t>三菱高速电梯滚动导靴</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11</w:t>
            </w:r>
          </w:p>
        </w:tc>
        <w:tc>
          <w:tcPr>
            <w:tcW w:w="3937" w:type="dxa"/>
          </w:tcPr>
          <w:p>
            <w:pPr>
              <w:jc w:val="center"/>
              <w:rPr>
                <w:rFonts w:ascii="宋体" w:hAnsi="宋体" w:eastAsia="宋体" w:cs="宋体"/>
                <w:szCs w:val="21"/>
              </w:rPr>
            </w:pPr>
            <w:r>
              <w:rPr>
                <w:rFonts w:hint="eastAsia" w:ascii="宋体" w:hAnsi="宋体" w:eastAsia="宋体" w:cs="宋体"/>
                <w:szCs w:val="21"/>
              </w:rPr>
              <w:t>三菱电梯轿厢红外线光幕</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12</w:t>
            </w:r>
          </w:p>
        </w:tc>
        <w:tc>
          <w:tcPr>
            <w:tcW w:w="3937" w:type="dxa"/>
          </w:tcPr>
          <w:p>
            <w:pPr>
              <w:jc w:val="center"/>
              <w:rPr>
                <w:rFonts w:ascii="宋体" w:hAnsi="宋体" w:eastAsia="宋体" w:cs="宋体"/>
                <w:szCs w:val="21"/>
              </w:rPr>
            </w:pPr>
            <w:r>
              <w:rPr>
                <w:rFonts w:hint="eastAsia" w:ascii="宋体" w:hAnsi="宋体" w:eastAsia="宋体" w:cs="宋体"/>
                <w:szCs w:val="21"/>
              </w:rPr>
              <w:t>日立电梯门机控制板</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13</w:t>
            </w:r>
          </w:p>
        </w:tc>
        <w:tc>
          <w:tcPr>
            <w:tcW w:w="3937" w:type="dxa"/>
          </w:tcPr>
          <w:p>
            <w:pPr>
              <w:jc w:val="center"/>
              <w:rPr>
                <w:rFonts w:ascii="宋体" w:hAnsi="宋体" w:eastAsia="宋体" w:cs="宋体"/>
                <w:szCs w:val="21"/>
              </w:rPr>
            </w:pPr>
            <w:r>
              <w:rPr>
                <w:rFonts w:hint="eastAsia" w:ascii="宋体" w:hAnsi="宋体" w:eastAsia="宋体" w:cs="宋体"/>
                <w:szCs w:val="21"/>
              </w:rPr>
              <w:t>日立电梯驱动板</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14</w:t>
            </w:r>
          </w:p>
        </w:tc>
        <w:tc>
          <w:tcPr>
            <w:tcW w:w="3937" w:type="dxa"/>
          </w:tcPr>
          <w:p>
            <w:pPr>
              <w:jc w:val="center"/>
              <w:rPr>
                <w:rFonts w:ascii="宋体" w:hAnsi="宋体" w:eastAsia="宋体" w:cs="宋体"/>
                <w:szCs w:val="21"/>
              </w:rPr>
            </w:pPr>
            <w:r>
              <w:rPr>
                <w:rFonts w:hint="eastAsia" w:ascii="宋体" w:hAnsi="宋体" w:eastAsia="宋体" w:cs="宋体"/>
                <w:szCs w:val="21"/>
              </w:rPr>
              <w:t>日立电梯平层感应器</w:t>
            </w:r>
          </w:p>
        </w:tc>
        <w:tc>
          <w:tcPr>
            <w:tcW w:w="2165"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34" w:type="dxa"/>
          </w:tcPr>
          <w:p>
            <w:pPr>
              <w:jc w:val="center"/>
              <w:rPr>
                <w:rFonts w:ascii="宋体" w:hAnsi="宋体" w:eastAsia="宋体" w:cs="宋体"/>
                <w:szCs w:val="21"/>
              </w:rPr>
            </w:pPr>
            <w:r>
              <w:rPr>
                <w:rFonts w:hint="eastAsia" w:ascii="宋体" w:hAnsi="宋体" w:eastAsia="宋体" w:cs="宋体"/>
                <w:szCs w:val="21"/>
              </w:rPr>
              <w:t>15</w:t>
            </w:r>
          </w:p>
        </w:tc>
        <w:tc>
          <w:tcPr>
            <w:tcW w:w="3937" w:type="dxa"/>
          </w:tcPr>
          <w:p>
            <w:pPr>
              <w:jc w:val="center"/>
              <w:rPr>
                <w:rFonts w:ascii="宋体" w:hAnsi="宋体" w:eastAsia="宋体" w:cs="宋体"/>
                <w:szCs w:val="21"/>
              </w:rPr>
            </w:pPr>
            <w:r>
              <w:rPr>
                <w:rFonts w:hint="eastAsia" w:ascii="宋体" w:hAnsi="宋体" w:eastAsia="宋体" w:cs="宋体"/>
                <w:szCs w:val="21"/>
              </w:rPr>
              <w:t>日立电梯轿厢红外线光幕</w:t>
            </w:r>
          </w:p>
        </w:tc>
        <w:tc>
          <w:tcPr>
            <w:tcW w:w="2165" w:type="dxa"/>
          </w:tcPr>
          <w:p>
            <w:pPr>
              <w:jc w:val="center"/>
              <w:rPr>
                <w:rFonts w:ascii="宋体" w:hAnsi="宋体" w:eastAsia="宋体" w:cs="宋体"/>
                <w:szCs w:val="21"/>
              </w:rPr>
            </w:pPr>
          </w:p>
        </w:tc>
      </w:tr>
    </w:tbl>
    <w:p>
      <w:pPr>
        <w:ind w:firstLine="420" w:firstLineChars="200"/>
        <w:rPr>
          <w:bCs/>
        </w:rPr>
      </w:pPr>
    </w:p>
    <w:p>
      <w:pPr>
        <w:ind w:firstLine="420" w:firstLineChars="200"/>
        <w:rPr>
          <w:rFonts w:ascii="宋体" w:hAnsi="宋体" w:eastAsia="宋体" w:cs="宋体"/>
          <w:bCs/>
        </w:rPr>
      </w:pPr>
      <w:r>
        <w:rPr>
          <w:rFonts w:hint="eastAsia" w:ascii="宋体" w:hAnsi="宋体" w:eastAsia="宋体" w:cs="宋体"/>
          <w:bCs/>
        </w:rPr>
        <w:t>注：</w:t>
      </w:r>
      <w:r>
        <w:rPr>
          <w:rFonts w:hint="eastAsia" w:ascii="宋体" w:hAnsi="宋体" w:eastAsia="宋体" w:cs="宋体"/>
          <w:szCs w:val="21"/>
        </w:rPr>
        <w:t>易损件要求至少备有1件/项。</w:t>
      </w:r>
    </w:p>
    <w:p>
      <w:pPr>
        <w:widowControl/>
        <w:jc w:val="left"/>
        <w:rPr>
          <w:rFonts w:ascii="宋体" w:hAnsi="Times New Roman" w:eastAsia="宋体" w:cs="宋体"/>
          <w:bCs/>
          <w:kern w:val="0"/>
          <w:szCs w:val="24"/>
        </w:rPr>
      </w:pPr>
    </w:p>
    <w:p>
      <w:pPr>
        <w:widowControl/>
        <w:jc w:val="left"/>
        <w:rPr>
          <w:rFonts w:ascii="Arial" w:hAnsi="Arial" w:eastAsia="宋体" w:cs="Times New Roman"/>
          <w:b/>
          <w:bCs/>
          <w:sz w:val="36"/>
          <w:szCs w:val="32"/>
        </w:rPr>
      </w:pPr>
      <w:bookmarkStart w:id="9" w:name="_Toc167352543"/>
      <w:r>
        <w:rPr>
          <w:rFonts w:ascii="Arial" w:hAnsi="Arial" w:eastAsia="宋体" w:cs="Times New Roman"/>
          <w:b/>
          <w:bCs/>
          <w:sz w:val="36"/>
          <w:szCs w:val="32"/>
        </w:rPr>
        <w:br w:type="page"/>
      </w:r>
    </w:p>
    <w:p>
      <w:pPr>
        <w:widowControl/>
        <w:shd w:val="clear" w:color="auto" w:fill="FFFFFF"/>
        <w:adjustRightInd w:val="0"/>
        <w:snapToGrid w:val="0"/>
        <w:spacing w:before="240" w:after="60" w:line="360" w:lineRule="auto"/>
        <w:ind w:firstLine="723"/>
        <w:jc w:val="center"/>
        <w:outlineLvl w:val="0"/>
        <w:rPr>
          <w:rFonts w:ascii="Arial" w:hAnsi="Arial" w:eastAsia="宋体" w:cs="Times New Roman"/>
          <w:b/>
          <w:bCs/>
          <w:sz w:val="36"/>
          <w:szCs w:val="32"/>
        </w:rPr>
      </w:pPr>
      <w:r>
        <w:rPr>
          <w:rFonts w:hint="eastAsia" w:ascii="Arial" w:hAnsi="Arial" w:eastAsia="宋体" w:cs="Times New Roman"/>
          <w:b/>
          <w:bCs/>
          <w:sz w:val="36"/>
          <w:szCs w:val="32"/>
        </w:rPr>
        <w:t xml:space="preserve">第一册 </w:t>
      </w:r>
      <w:r>
        <w:rPr>
          <w:rFonts w:ascii="Arial" w:hAnsi="Arial" w:eastAsia="宋体" w:cs="Times New Roman"/>
          <w:b/>
          <w:bCs/>
          <w:sz w:val="36"/>
          <w:szCs w:val="32"/>
        </w:rPr>
        <w:t xml:space="preserve"> </w:t>
      </w:r>
      <w:r>
        <w:rPr>
          <w:rFonts w:hint="eastAsia" w:ascii="Arial" w:hAnsi="Arial" w:eastAsia="宋体" w:cs="Times New Roman"/>
          <w:b/>
          <w:bCs/>
          <w:sz w:val="36"/>
          <w:szCs w:val="32"/>
        </w:rPr>
        <w:t>专用条款</w:t>
      </w:r>
      <w:bookmarkEnd w:id="6"/>
      <w:bookmarkEnd w:id="9"/>
    </w:p>
    <w:p>
      <w:pPr>
        <w:widowControl/>
        <w:shd w:val="clear" w:color="auto" w:fill="FFFFFF"/>
        <w:adjustRightInd w:val="0"/>
        <w:snapToGrid w:val="0"/>
        <w:spacing w:before="240" w:after="60" w:line="312" w:lineRule="auto"/>
        <w:ind w:firstLine="562"/>
        <w:jc w:val="center"/>
        <w:outlineLvl w:val="1"/>
        <w:rPr>
          <w:rFonts w:ascii="Cambria" w:hAnsi="Cambria" w:eastAsia="宋体" w:cs="Times New Roman"/>
          <w:b/>
          <w:bCs/>
          <w:kern w:val="28"/>
          <w:sz w:val="28"/>
          <w:szCs w:val="32"/>
        </w:rPr>
      </w:pPr>
      <w:bookmarkStart w:id="10" w:name="_Toc265483798"/>
      <w:bookmarkStart w:id="11" w:name="_Toc432592813"/>
      <w:bookmarkStart w:id="12" w:name="_Toc167352544"/>
      <w:r>
        <w:rPr>
          <w:rFonts w:hint="eastAsia" w:ascii="Cambria" w:hAnsi="Cambria" w:eastAsia="宋体" w:cs="Times New Roman"/>
          <w:b/>
          <w:bCs/>
          <w:kern w:val="28"/>
          <w:sz w:val="28"/>
          <w:szCs w:val="32"/>
        </w:rPr>
        <w:t>第一章 招标公告</w:t>
      </w:r>
      <w:bookmarkEnd w:id="10"/>
      <w:bookmarkEnd w:id="11"/>
      <w:bookmarkEnd w:id="12"/>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Times New Roman" w:eastAsia="宋体" w:cs="Times New Roman"/>
          <w:szCs w:val="21"/>
        </w:rPr>
      </w:pPr>
      <w:bookmarkStart w:id="191" w:name="_GoBack"/>
      <w:r>
        <w:rPr>
          <w:rFonts w:hint="eastAsia" w:ascii="宋体" w:hAnsi="Times New Roman" w:eastAsia="宋体" w:cs="Times New Roman"/>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2025-2026年度电梯维保服务的潜在投标人应在深圳市罗湖区清水河街道清水河社区清水河一路112号罗湖投资控股大厦裙楼401获取招标文件，并于</w:t>
      </w:r>
      <w:r>
        <w:rPr>
          <w:rFonts w:ascii="宋体" w:hAnsi="Times New Roman" w:eastAsia="宋体" w:cs="Times New Roman"/>
          <w:kern w:val="0"/>
          <w:szCs w:val="21"/>
        </w:rPr>
        <w:t>2024年</w:t>
      </w:r>
      <w:r>
        <w:rPr>
          <w:rFonts w:hint="eastAsia" w:ascii="宋体" w:hAnsi="Times New Roman" w:eastAsia="宋体" w:cs="Times New Roman"/>
          <w:kern w:val="0"/>
          <w:szCs w:val="21"/>
          <w:lang w:val="en-US" w:eastAsia="zh-CN"/>
        </w:rPr>
        <w:t>12</w:t>
      </w:r>
      <w:r>
        <w:rPr>
          <w:rFonts w:ascii="宋体" w:hAnsi="Times New Roman" w:eastAsia="宋体" w:cs="Times New Roman"/>
          <w:kern w:val="0"/>
          <w:szCs w:val="21"/>
        </w:rPr>
        <w:t>月</w:t>
      </w:r>
      <w:r>
        <w:rPr>
          <w:rFonts w:hint="eastAsia" w:ascii="宋体" w:hAnsi="Times New Roman" w:eastAsia="宋体" w:cs="Times New Roman"/>
          <w:kern w:val="0"/>
          <w:szCs w:val="21"/>
          <w:lang w:val="en-US" w:eastAsia="zh-CN"/>
        </w:rPr>
        <w:t>24</w:t>
      </w:r>
      <w:r>
        <w:rPr>
          <w:rFonts w:ascii="宋体" w:hAnsi="Times New Roman" w:eastAsia="宋体" w:cs="Times New Roman"/>
          <w:kern w:val="0"/>
          <w:szCs w:val="21"/>
        </w:rPr>
        <w:t>日14点30分</w:t>
      </w:r>
      <w:r>
        <w:rPr>
          <w:rFonts w:hint="eastAsia" w:ascii="宋体" w:hAnsi="Times New Roman" w:eastAsia="宋体" w:cs="Times New Roman"/>
          <w:bCs/>
          <w:szCs w:val="21"/>
        </w:rPr>
        <w:t>（北京时间）前递交投标</w:t>
      </w:r>
      <w:r>
        <w:rPr>
          <w:rFonts w:ascii="宋体" w:hAnsi="Times New Roman" w:eastAsia="宋体" w:cs="Times New Roman"/>
          <w:bCs/>
          <w:szCs w:val="21"/>
        </w:rPr>
        <w:t>文件</w:t>
      </w:r>
      <w:r>
        <w:rPr>
          <w:rFonts w:hint="eastAsia" w:ascii="宋体" w:hAnsi="Times New Roman" w:eastAsia="宋体" w:cs="Times New Roman"/>
          <w:szCs w:val="21"/>
        </w:rPr>
        <w:t>。</w:t>
      </w:r>
    </w:p>
    <w:p>
      <w:pPr>
        <w:spacing w:line="360" w:lineRule="auto"/>
        <w:rPr>
          <w:rFonts w:ascii="宋体" w:hAnsi="Times New Roman" w:eastAsia="宋体" w:cs="Times New Roman"/>
          <w:szCs w:val="21"/>
        </w:rPr>
      </w:pPr>
    </w:p>
    <w:p>
      <w:pPr>
        <w:spacing w:line="360" w:lineRule="auto"/>
        <w:rPr>
          <w:rFonts w:ascii="宋体" w:hAnsi="Times New Roman" w:eastAsia="宋体" w:cs="Times New Roman"/>
          <w:b/>
          <w:bCs/>
          <w:szCs w:val="21"/>
        </w:rPr>
      </w:pPr>
      <w:bookmarkStart w:id="13" w:name="_Toc35393790"/>
      <w:bookmarkStart w:id="14" w:name="_Toc150794049"/>
      <w:bookmarkStart w:id="15" w:name="_Toc28359002"/>
      <w:bookmarkStart w:id="16" w:name="_Toc35393621"/>
      <w:bookmarkStart w:id="17" w:name="_Toc28359079"/>
      <w:bookmarkStart w:id="18" w:name="_Toc167352545"/>
      <w:bookmarkStart w:id="19" w:name="_Hlk24379207"/>
      <w:r>
        <w:rPr>
          <w:rFonts w:hint="eastAsia" w:ascii="宋体" w:hAnsi="Times New Roman" w:eastAsia="宋体" w:cs="Times New Roman"/>
          <w:b/>
          <w:bCs/>
          <w:szCs w:val="21"/>
        </w:rPr>
        <w:t>一、项目基本情况</w:t>
      </w:r>
      <w:bookmarkEnd w:id="13"/>
      <w:bookmarkEnd w:id="14"/>
      <w:bookmarkEnd w:id="15"/>
      <w:bookmarkEnd w:id="16"/>
      <w:bookmarkEnd w:id="17"/>
      <w:bookmarkEnd w:id="18"/>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项目编号：SSZX2024-440</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项目名称：2025-2026年度电梯维保服务</w:t>
      </w:r>
    </w:p>
    <w:bookmarkEnd w:id="19"/>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预算金额：460200.00元</w:t>
      </w:r>
      <w:r>
        <w:rPr>
          <w:rFonts w:hint="eastAsia" w:ascii="宋体" w:hAnsi="Times New Roman" w:eastAsia="宋体" w:cs="宋体"/>
          <w:kern w:val="0"/>
          <w:szCs w:val="21"/>
        </w:rPr>
        <w:t>（人民币）</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最高限价：460200.00元（人民币）</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采购需求：</w:t>
      </w:r>
    </w:p>
    <w:tbl>
      <w:tblPr>
        <w:tblStyle w:val="86"/>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710"/>
        <w:gridCol w:w="990"/>
        <w:gridCol w:w="4257"/>
        <w:gridCol w:w="7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3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标的名称</w:t>
            </w:r>
          </w:p>
        </w:tc>
        <w:tc>
          <w:tcPr>
            <w:tcW w:w="412"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数量</w:t>
            </w:r>
          </w:p>
        </w:tc>
        <w:tc>
          <w:tcPr>
            <w:tcW w:w="575"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单位</w:t>
            </w:r>
          </w:p>
        </w:tc>
        <w:tc>
          <w:tcPr>
            <w:tcW w:w="2471"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ascii="宋体" w:hAnsi="宋体" w:eastAsia="宋体" w:cs="宋体"/>
                <w:kern w:val="0"/>
                <w:szCs w:val="21"/>
              </w:rPr>
              <w:t>简要技术需求</w:t>
            </w:r>
          </w:p>
          <w:p>
            <w:pPr>
              <w:widowControl/>
              <w:shd w:val="clear" w:color="auto" w:fill="FFFFFF"/>
              <w:tabs>
                <w:tab w:val="left" w:pos="426"/>
              </w:tabs>
              <w:adjustRightInd w:val="0"/>
              <w:snapToGrid w:val="0"/>
              <w:jc w:val="center"/>
              <w:rPr>
                <w:rFonts w:ascii="宋体" w:hAnsi="宋体" w:eastAsia="宋体" w:cs="宋体"/>
                <w:kern w:val="0"/>
                <w:szCs w:val="21"/>
              </w:rPr>
            </w:pPr>
            <w:r>
              <w:rPr>
                <w:rFonts w:ascii="宋体" w:hAnsi="宋体" w:eastAsia="宋体" w:cs="宋体"/>
                <w:kern w:val="0"/>
                <w:szCs w:val="21"/>
              </w:rPr>
              <w:t>（服务需求）</w:t>
            </w:r>
          </w:p>
        </w:tc>
        <w:tc>
          <w:tcPr>
            <w:tcW w:w="409"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113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spacing w:line="360" w:lineRule="auto"/>
              <w:jc w:val="center"/>
              <w:rPr>
                <w:rFonts w:ascii="宋体" w:hAnsi="宋体" w:eastAsia="宋体" w:cs="宋体"/>
                <w:kern w:val="0"/>
                <w:szCs w:val="21"/>
              </w:rPr>
            </w:pPr>
            <w:r>
              <w:rPr>
                <w:rFonts w:hint="eastAsia" w:ascii="宋体" w:hAnsi="宋体" w:eastAsia="宋体" w:cs="宋体"/>
                <w:bCs/>
                <w:kern w:val="0"/>
                <w:szCs w:val="21"/>
              </w:rPr>
              <w:t>2025-2026年度电梯维保服务</w:t>
            </w:r>
          </w:p>
        </w:tc>
        <w:tc>
          <w:tcPr>
            <w:tcW w:w="412"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575"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2471"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spacing w:line="360" w:lineRule="auto"/>
              <w:jc w:val="left"/>
              <w:rPr>
                <w:rFonts w:ascii="宋体" w:hAnsi="宋体" w:eastAsia="宋体" w:cs="宋体"/>
                <w:kern w:val="0"/>
                <w:szCs w:val="21"/>
              </w:rPr>
            </w:pPr>
            <w:r>
              <w:rPr>
                <w:rFonts w:hint="eastAsia" w:ascii="宋体" w:hAnsi="宋体" w:eastAsia="宋体" w:cs="宋体"/>
                <w:kern w:val="0"/>
                <w:szCs w:val="21"/>
              </w:rPr>
              <w:t>投标人需根据服务内容完成2025-2026年度电梯维保的相关服务内容。具体详见项目需求。</w:t>
            </w:r>
          </w:p>
        </w:tc>
        <w:tc>
          <w:tcPr>
            <w:tcW w:w="409"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6"/>
              </w:tabs>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无</w:t>
            </w:r>
          </w:p>
        </w:tc>
      </w:tr>
    </w:tbl>
    <w:p>
      <w:pPr>
        <w:spacing w:line="360" w:lineRule="auto"/>
        <w:ind w:firstLine="420" w:firstLineChars="200"/>
        <w:rPr>
          <w:rFonts w:ascii="宋体" w:hAnsi="Times New Roman" w:eastAsia="宋体" w:cs="Times New Roman"/>
          <w:szCs w:val="21"/>
        </w:rPr>
      </w:pPr>
      <w:r>
        <w:rPr>
          <w:rFonts w:ascii="宋体" w:hAnsi="Times New Roman" w:eastAsia="宋体" w:cs="Times New Roman"/>
          <w:szCs w:val="21"/>
        </w:rPr>
        <w:t>服务期限为：</w:t>
      </w:r>
      <w:r>
        <w:rPr>
          <w:rFonts w:hint="eastAsia" w:ascii="宋体" w:hAnsi="Times New Roman" w:eastAsia="宋体" w:cs="Times New Roman"/>
          <w:szCs w:val="21"/>
        </w:rPr>
        <w:t>自合同签定之日起一年（合同具体起止时间详见上表“技术要求-1.具体内容和要求”）。该项目为长期服务项目，合同一年一签，但最长不超过3年，采购人根据中标人履约情况，评估确定是否续签第二年合同，第三年以此类推</w:t>
      </w:r>
      <w:r>
        <w:rPr>
          <w:rFonts w:ascii="宋体" w:hAnsi="Times New Roman" w:eastAsia="宋体" w:cs="Times New Roman"/>
          <w:szCs w:val="21"/>
        </w:rPr>
        <w:t>。</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本项目不接受联合体投标。</w:t>
      </w:r>
    </w:p>
    <w:p>
      <w:pPr>
        <w:spacing w:line="360" w:lineRule="auto"/>
        <w:rPr>
          <w:rFonts w:ascii="宋体" w:hAnsi="Times New Roman" w:eastAsia="宋体" w:cs="Times New Roman"/>
          <w:b/>
          <w:bCs/>
          <w:szCs w:val="21"/>
        </w:rPr>
      </w:pPr>
      <w:bookmarkStart w:id="20" w:name="_Toc28359003"/>
      <w:bookmarkStart w:id="21" w:name="_Toc167352546"/>
      <w:bookmarkStart w:id="22" w:name="_Toc35393791"/>
      <w:bookmarkStart w:id="23" w:name="_Toc28359080"/>
      <w:bookmarkStart w:id="24" w:name="_Toc35393622"/>
      <w:bookmarkStart w:id="25" w:name="_Toc150794050"/>
      <w:r>
        <w:rPr>
          <w:rFonts w:hint="eastAsia" w:ascii="宋体" w:hAnsi="Times New Roman" w:eastAsia="宋体" w:cs="Times New Roman"/>
          <w:b/>
          <w:bCs/>
          <w:szCs w:val="21"/>
        </w:rPr>
        <w:t>二、申请人的资格要求：</w:t>
      </w:r>
      <w:bookmarkEnd w:id="20"/>
      <w:bookmarkEnd w:id="21"/>
      <w:bookmarkEnd w:id="22"/>
      <w:bookmarkEnd w:id="23"/>
      <w:bookmarkEnd w:id="24"/>
      <w:bookmarkEnd w:id="25"/>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bookmarkStart w:id="26" w:name="_Toc28359004"/>
      <w:bookmarkStart w:id="27" w:name="_Toc35393792"/>
      <w:bookmarkStart w:id="28" w:name="_Toc150794051"/>
      <w:bookmarkStart w:id="29" w:name="_Toc28359081"/>
      <w:bookmarkStart w:id="30" w:name="_Toc35393623"/>
      <w:r>
        <w:rPr>
          <w:rFonts w:hint="eastAsia" w:ascii="宋体" w:hAnsi="宋体" w:eastAsia="宋体" w:cs="宋体"/>
          <w:kern w:val="0"/>
          <w:szCs w:val="24"/>
        </w:rPr>
        <w:t>1.满足《中华人民共和国政府采购法》第二十二条规定（由供应商在《投标及履约承诺函》中作出声明）。</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2.落实政府采购政策需满足的资格要求：本项目不属于专门面向中小企业采购的项目。</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3.本项目的特定资格要求：</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2）根据财库〔2016〕125号文的有关规定，投标人需未被列入失信被执行人、重大税收违法案件当事人名单、政府采购严重违法失信行为记录名单（提供书面《投标及履约承诺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（3）投标人参与本项目投标前三年内，在经营活动中没有重大违法记录（提供《投标及履约承诺函》，并加盖投标人公章）。</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（4）参与本项目投标近三年内，在经营活动中没有发生重大安全和质量事故（提供《投标及履约承诺函》，并加盖投标人公章）。</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（5）投标人参与本项目政府采购活动时不存在被有关部门禁止参与政府采购活动且在有效期内的情况（提供《投标及履约承诺函》，并加盖投标人公章）。</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（6）单位负责人为同一人或者存在直接控股、管理关系的不同供应商，不得参加同一合同项下的政府采购活动（提供《投标及履约承诺函》，并加盖投标人公章）。</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（7）为采购项目提供整体设计、规范编制或者项目管理、监理、检测等服务的供应商，不得再参加该采购项目的其他采购活动（提供《投标及履约承诺函》，并加盖投标人公章）。</w:t>
      </w:r>
    </w:p>
    <w:p>
      <w:pPr>
        <w:widowControl/>
        <w:shd w:val="clear" w:color="auto" w:fill="FFFFFF"/>
        <w:tabs>
          <w:tab w:val="left" w:pos="426"/>
        </w:tabs>
        <w:adjustRightInd w:val="0"/>
        <w:snapToGrid w:val="0"/>
        <w:spacing w:line="360" w:lineRule="auto"/>
        <w:ind w:firstLine="420" w:firstLineChars="200"/>
        <w:rPr>
          <w:rFonts w:ascii="宋体" w:hAnsi="宋体" w:eastAsia="宋体" w:cs="宋体"/>
          <w:kern w:val="0"/>
          <w:szCs w:val="24"/>
        </w:rPr>
      </w:pPr>
      <w:r>
        <w:rPr>
          <w:rFonts w:hint="eastAsia" w:ascii="宋体" w:hAnsi="宋体" w:eastAsia="宋体" w:cs="宋体"/>
          <w:kern w:val="0"/>
          <w:szCs w:val="24"/>
        </w:rPr>
        <w:t>（8）本项目不接受联合体形式进行投标，不允许转包及分包。</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w:t>
      </w:r>
      <w:r>
        <w:rPr>
          <w:rFonts w:ascii="宋体" w:hAnsi="Times New Roman" w:eastAsia="宋体" w:cs="Times New Roman"/>
          <w:szCs w:val="21"/>
        </w:rPr>
        <w:t>9</w:t>
      </w:r>
      <w:r>
        <w:rPr>
          <w:rFonts w:hint="eastAsia" w:ascii="宋体" w:hAnsi="Times New Roman" w:eastAsia="宋体" w:cs="Times New Roman"/>
          <w:szCs w:val="21"/>
        </w:rPr>
        <w:t>）须按招标文件要求提供《保密承诺书》及《廉政承诺书》（加盖投标人公章）。</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（10）须具有市场监督管理部门颁发的《中华人民共和国特种设备生产许可证》或《中华人民共和国特种设备安装改造修理许可证》A2级及A2级以上资质（提供证书复印件，并加盖投标人公章）。</w:t>
      </w:r>
    </w:p>
    <w:p>
      <w:pPr>
        <w:spacing w:line="360" w:lineRule="auto"/>
        <w:rPr>
          <w:rFonts w:ascii="宋体" w:hAnsi="Times New Roman" w:eastAsia="宋体" w:cs="Times New Roman"/>
          <w:b/>
          <w:bCs/>
          <w:szCs w:val="21"/>
        </w:rPr>
      </w:pPr>
      <w:bookmarkStart w:id="31" w:name="_Toc167352547"/>
      <w:r>
        <w:rPr>
          <w:rFonts w:hint="eastAsia" w:ascii="宋体" w:hAnsi="Times New Roman" w:eastAsia="宋体" w:cs="Times New Roman"/>
          <w:b/>
          <w:bCs/>
          <w:szCs w:val="21"/>
        </w:rPr>
        <w:t>三、获取招标文件</w:t>
      </w:r>
      <w:bookmarkEnd w:id="26"/>
      <w:bookmarkEnd w:id="27"/>
      <w:bookmarkEnd w:id="28"/>
      <w:bookmarkEnd w:id="29"/>
      <w:bookmarkEnd w:id="30"/>
      <w:bookmarkEnd w:id="31"/>
    </w:p>
    <w:p>
      <w:pPr>
        <w:spacing w:line="360" w:lineRule="auto"/>
        <w:ind w:firstLine="420"/>
        <w:rPr>
          <w:rFonts w:ascii="宋体" w:hAnsi="Times New Roman" w:eastAsia="宋体" w:cs="宋体"/>
          <w:szCs w:val="21"/>
        </w:rPr>
      </w:pPr>
      <w:r>
        <w:rPr>
          <w:rFonts w:hint="eastAsia" w:ascii="宋体" w:hAnsi="Times New Roman" w:eastAsia="宋体" w:cs="宋体"/>
          <w:szCs w:val="21"/>
        </w:rPr>
        <w:t>时间：</w:t>
      </w:r>
      <w:r>
        <w:rPr>
          <w:rFonts w:ascii="宋体" w:hAnsi="Times New Roman" w:eastAsia="宋体" w:cs="宋体"/>
          <w:kern w:val="0"/>
          <w:szCs w:val="21"/>
        </w:rPr>
        <w:t>2024年</w:t>
      </w:r>
      <w:r>
        <w:rPr>
          <w:rFonts w:hint="eastAsia" w:ascii="宋体" w:hAnsi="Times New Roman" w:eastAsia="宋体" w:cs="宋体"/>
          <w:kern w:val="0"/>
          <w:szCs w:val="21"/>
          <w:lang w:val="en-US" w:eastAsia="zh-CN"/>
        </w:rPr>
        <w:t>12</w:t>
      </w:r>
      <w:r>
        <w:rPr>
          <w:rFonts w:ascii="宋体" w:hAnsi="Times New Roman" w:eastAsia="宋体" w:cs="宋体"/>
          <w:kern w:val="0"/>
          <w:szCs w:val="21"/>
        </w:rPr>
        <w:t>月</w:t>
      </w:r>
      <w:r>
        <w:rPr>
          <w:rFonts w:hint="eastAsia" w:ascii="宋体" w:hAnsi="Times New Roman" w:eastAsia="宋体" w:cs="宋体"/>
          <w:kern w:val="0"/>
          <w:szCs w:val="21"/>
          <w:lang w:val="en-US" w:eastAsia="zh-CN"/>
        </w:rPr>
        <w:t>4</w:t>
      </w:r>
      <w:r>
        <w:rPr>
          <w:rFonts w:ascii="宋体" w:hAnsi="Times New Roman" w:eastAsia="宋体" w:cs="宋体"/>
          <w:kern w:val="0"/>
          <w:szCs w:val="21"/>
        </w:rPr>
        <w:t>日至2024年</w:t>
      </w:r>
      <w:r>
        <w:rPr>
          <w:rFonts w:hint="eastAsia" w:ascii="宋体" w:hAnsi="Times New Roman" w:eastAsia="宋体" w:cs="宋体"/>
          <w:kern w:val="0"/>
          <w:szCs w:val="21"/>
          <w:lang w:val="en-US" w:eastAsia="zh-CN"/>
        </w:rPr>
        <w:t>12</w:t>
      </w:r>
      <w:r>
        <w:rPr>
          <w:rFonts w:ascii="宋体" w:hAnsi="Times New Roman" w:eastAsia="宋体" w:cs="宋体"/>
          <w:kern w:val="0"/>
          <w:szCs w:val="21"/>
        </w:rPr>
        <w:t>月</w:t>
      </w:r>
      <w:r>
        <w:rPr>
          <w:rFonts w:hint="eastAsia" w:ascii="宋体" w:hAnsi="Times New Roman" w:eastAsia="宋体" w:cs="Times New Roman"/>
          <w:kern w:val="0"/>
          <w:szCs w:val="21"/>
          <w:lang w:val="en-US" w:eastAsia="zh-CN"/>
        </w:rPr>
        <w:t>17</w:t>
      </w:r>
      <w:r>
        <w:rPr>
          <w:rFonts w:ascii="宋体" w:hAnsi="Times New Roman" w:eastAsia="宋体" w:cs="宋体"/>
          <w:kern w:val="0"/>
          <w:szCs w:val="21"/>
        </w:rPr>
        <w:t>日</w:t>
      </w:r>
      <w:r>
        <w:rPr>
          <w:rFonts w:hint="eastAsia" w:ascii="宋体" w:hAnsi="Times New Roman" w:eastAsia="宋体" w:cs="宋体"/>
          <w:szCs w:val="21"/>
        </w:rPr>
        <w:t>，每天上午9:00至12:00，下午14:00至18:00（北京时间，</w:t>
      </w:r>
      <w:r>
        <w:rPr>
          <w:rFonts w:ascii="宋体" w:hAnsi="Times New Roman" w:eastAsia="宋体" w:cs="宋体"/>
          <w:szCs w:val="21"/>
        </w:rPr>
        <w:t>法定节假日</w:t>
      </w:r>
      <w:r>
        <w:rPr>
          <w:rFonts w:hint="eastAsia" w:ascii="宋体" w:hAnsi="Times New Roman" w:eastAsia="宋体" w:cs="宋体"/>
          <w:szCs w:val="21"/>
        </w:rPr>
        <w:t>除外）</w:t>
      </w:r>
    </w:p>
    <w:p>
      <w:pPr>
        <w:spacing w:line="360" w:lineRule="auto"/>
        <w:ind w:firstLine="420"/>
        <w:rPr>
          <w:rFonts w:ascii="宋体" w:hAnsi="Times New Roman" w:eastAsia="宋体" w:cs="宋体"/>
          <w:szCs w:val="21"/>
        </w:rPr>
      </w:pPr>
      <w:r>
        <w:rPr>
          <w:rFonts w:hint="eastAsia" w:ascii="宋体" w:hAnsi="Times New Roman" w:eastAsia="宋体" w:cs="宋体"/>
          <w:szCs w:val="21"/>
        </w:rPr>
        <w:t>地点：</w:t>
      </w:r>
      <w:r>
        <w:rPr>
          <w:rFonts w:hint="eastAsia" w:ascii="宋体" w:hAnsi="Times New Roman" w:eastAsia="宋体" w:cs="Times New Roman"/>
          <w:szCs w:val="21"/>
        </w:rPr>
        <w:t>深圳市罗湖区清水河街道清水河社区清水河一路112号罗湖投资控股大厦裙楼401</w:t>
      </w:r>
    </w:p>
    <w:p>
      <w:pPr>
        <w:spacing w:line="360" w:lineRule="auto"/>
        <w:ind w:firstLine="420"/>
        <w:rPr>
          <w:rFonts w:ascii="宋体" w:hAnsi="Times New Roman" w:eastAsia="宋体" w:cs="宋体"/>
          <w:szCs w:val="21"/>
        </w:rPr>
      </w:pPr>
      <w:r>
        <w:rPr>
          <w:rFonts w:hint="eastAsia" w:ascii="宋体" w:hAnsi="Times New Roman" w:eastAsia="宋体" w:cs="宋体"/>
          <w:szCs w:val="21"/>
        </w:rPr>
        <w:t>方式：邮件购买（请将报名须提交资料的盖章扫描件发送至498174886@qq.com）。</w:t>
      </w:r>
    </w:p>
    <w:p>
      <w:pPr>
        <w:spacing w:line="360" w:lineRule="auto"/>
        <w:ind w:firstLine="420"/>
        <w:rPr>
          <w:rFonts w:ascii="宋体" w:hAnsi="Times New Roman" w:eastAsia="宋体" w:cs="宋体"/>
          <w:szCs w:val="21"/>
        </w:rPr>
      </w:pPr>
      <w:r>
        <w:rPr>
          <w:rFonts w:hint="eastAsia" w:ascii="宋体" w:hAnsi="Times New Roman" w:eastAsia="宋体" w:cs="宋体"/>
          <w:szCs w:val="21"/>
        </w:rPr>
        <w:t>报名须提交：投标人的营业执照复印件；法人代表证明书原件、授权委托书原件、被授权委托人身份证复印件、被授权委托人联系方式（电话、邮箱）。以上资料均需加盖公章，原件中标备查。</w:t>
      </w:r>
    </w:p>
    <w:p>
      <w:pPr>
        <w:spacing w:line="360" w:lineRule="auto"/>
        <w:ind w:firstLine="420"/>
        <w:rPr>
          <w:rFonts w:ascii="宋体" w:hAnsi="Times New Roman" w:eastAsia="宋体" w:cs="宋体"/>
          <w:szCs w:val="21"/>
        </w:rPr>
      </w:pPr>
      <w:r>
        <w:rPr>
          <w:rFonts w:hint="eastAsia" w:ascii="宋体" w:hAnsi="Times New Roman" w:eastAsia="宋体" w:cs="宋体"/>
          <w:szCs w:val="21"/>
        </w:rPr>
        <w:t>售价：500元/份，本公告包含的招标文件售价总和</w:t>
      </w:r>
    </w:p>
    <w:p>
      <w:pPr>
        <w:spacing w:line="360" w:lineRule="auto"/>
        <w:rPr>
          <w:rFonts w:ascii="宋体" w:hAnsi="Times New Roman" w:eastAsia="宋体" w:cs="Times New Roman"/>
          <w:b/>
          <w:bCs/>
          <w:szCs w:val="21"/>
        </w:rPr>
      </w:pPr>
      <w:bookmarkStart w:id="32" w:name="_Toc28359005"/>
      <w:bookmarkStart w:id="33" w:name="_Toc28359082"/>
      <w:bookmarkStart w:id="34" w:name="_Toc150794052"/>
      <w:bookmarkStart w:id="35" w:name="_Toc167352548"/>
      <w:bookmarkStart w:id="36" w:name="_Toc35393793"/>
      <w:bookmarkStart w:id="37" w:name="_Toc35393624"/>
      <w:r>
        <w:rPr>
          <w:rFonts w:hint="eastAsia" w:ascii="宋体" w:hAnsi="Times New Roman" w:eastAsia="宋体" w:cs="Times New Roman"/>
          <w:b/>
          <w:bCs/>
          <w:szCs w:val="21"/>
        </w:rPr>
        <w:t>四、提交投标文件</w:t>
      </w:r>
      <w:bookmarkEnd w:id="32"/>
      <w:bookmarkEnd w:id="33"/>
      <w:r>
        <w:rPr>
          <w:rFonts w:hint="eastAsia" w:ascii="宋体" w:hAnsi="Times New Roman" w:eastAsia="宋体" w:cs="Times New Roman"/>
          <w:b/>
          <w:bCs/>
          <w:szCs w:val="21"/>
        </w:rPr>
        <w:t>截止时间、开标时间和地点</w:t>
      </w:r>
      <w:bookmarkEnd w:id="34"/>
      <w:bookmarkEnd w:id="35"/>
      <w:bookmarkEnd w:id="36"/>
      <w:bookmarkEnd w:id="37"/>
    </w:p>
    <w:p>
      <w:pPr>
        <w:tabs>
          <w:tab w:val="left" w:pos="426"/>
        </w:tabs>
        <w:spacing w:line="360" w:lineRule="auto"/>
        <w:ind w:firstLine="420" w:firstLineChars="200"/>
        <w:rPr>
          <w:rFonts w:ascii="宋体" w:hAnsi="Times New Roman" w:eastAsia="宋体" w:cs="Times New Roman"/>
          <w:bCs/>
          <w:szCs w:val="21"/>
        </w:rPr>
      </w:pPr>
      <w:r>
        <w:rPr>
          <w:rFonts w:hint="eastAsia" w:ascii="宋体" w:hAnsi="Times New Roman" w:eastAsia="宋体" w:cs="Times New Roman"/>
          <w:bCs/>
          <w:szCs w:val="21"/>
        </w:rPr>
        <w:t>提交投标文件截止时间：</w:t>
      </w:r>
      <w:r>
        <w:rPr>
          <w:rFonts w:ascii="宋体" w:hAnsi="Times New Roman" w:eastAsia="宋体" w:cs="Times New Roman"/>
          <w:kern w:val="0"/>
          <w:szCs w:val="21"/>
        </w:rPr>
        <w:t>2024年</w:t>
      </w:r>
      <w:r>
        <w:rPr>
          <w:rFonts w:hint="eastAsia" w:ascii="宋体" w:hAnsi="Times New Roman" w:eastAsia="宋体" w:cs="Times New Roman"/>
          <w:kern w:val="0"/>
          <w:szCs w:val="21"/>
        </w:rPr>
        <w:t>12</w:t>
      </w:r>
      <w:r>
        <w:rPr>
          <w:rFonts w:ascii="宋体" w:hAnsi="Times New Roman" w:eastAsia="宋体" w:cs="Times New Roman"/>
          <w:kern w:val="0"/>
          <w:szCs w:val="21"/>
        </w:rPr>
        <w:t>月</w:t>
      </w:r>
      <w:r>
        <w:rPr>
          <w:rFonts w:hint="eastAsia" w:ascii="宋体" w:hAnsi="Times New Roman" w:eastAsia="宋体" w:cs="Times New Roman"/>
          <w:kern w:val="0"/>
          <w:szCs w:val="21"/>
          <w:lang w:val="en-US" w:eastAsia="zh-CN"/>
        </w:rPr>
        <w:t>24</w:t>
      </w:r>
      <w:r>
        <w:rPr>
          <w:rFonts w:ascii="宋体" w:hAnsi="Times New Roman" w:eastAsia="宋体" w:cs="Times New Roman"/>
          <w:kern w:val="0"/>
          <w:szCs w:val="21"/>
        </w:rPr>
        <w:t>日14点30分</w:t>
      </w:r>
      <w:r>
        <w:rPr>
          <w:rFonts w:hint="eastAsia" w:ascii="宋体" w:hAnsi="Times New Roman" w:eastAsia="宋体" w:cs="Times New Roman"/>
          <w:bCs/>
          <w:szCs w:val="21"/>
        </w:rPr>
        <w:t>（北京时间）</w:t>
      </w:r>
    </w:p>
    <w:p>
      <w:pPr>
        <w:tabs>
          <w:tab w:val="left" w:pos="426"/>
        </w:tabs>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开标时间：</w:t>
      </w:r>
      <w:r>
        <w:rPr>
          <w:rFonts w:ascii="宋体" w:hAnsi="Times New Roman" w:eastAsia="宋体" w:cs="Times New Roman"/>
          <w:kern w:val="0"/>
          <w:szCs w:val="21"/>
        </w:rPr>
        <w:t>2024年</w:t>
      </w:r>
      <w:r>
        <w:rPr>
          <w:rFonts w:hint="eastAsia" w:ascii="宋体" w:hAnsi="Times New Roman" w:eastAsia="宋体" w:cs="Times New Roman"/>
          <w:kern w:val="0"/>
          <w:szCs w:val="21"/>
        </w:rPr>
        <w:t>12</w:t>
      </w:r>
      <w:r>
        <w:rPr>
          <w:rFonts w:ascii="宋体" w:hAnsi="Times New Roman" w:eastAsia="宋体" w:cs="Times New Roman"/>
          <w:kern w:val="0"/>
          <w:szCs w:val="21"/>
        </w:rPr>
        <w:t>月</w:t>
      </w:r>
      <w:r>
        <w:rPr>
          <w:rFonts w:hint="eastAsia" w:ascii="宋体" w:hAnsi="Times New Roman" w:eastAsia="宋体" w:cs="Times New Roman"/>
          <w:kern w:val="0"/>
          <w:szCs w:val="21"/>
          <w:lang w:val="en-US" w:eastAsia="zh-CN"/>
        </w:rPr>
        <w:t>24</w:t>
      </w:r>
      <w:r>
        <w:rPr>
          <w:rFonts w:ascii="宋体" w:hAnsi="Times New Roman" w:eastAsia="宋体" w:cs="Times New Roman"/>
          <w:kern w:val="0"/>
          <w:szCs w:val="21"/>
        </w:rPr>
        <w:t>日14点30分</w:t>
      </w:r>
      <w:r>
        <w:rPr>
          <w:rFonts w:hint="eastAsia" w:ascii="宋体" w:hAnsi="Times New Roman" w:eastAsia="宋体" w:cs="Times New Roman"/>
          <w:szCs w:val="21"/>
        </w:rPr>
        <w:t>（北京时间）</w:t>
      </w:r>
    </w:p>
    <w:p>
      <w:pPr>
        <w:tabs>
          <w:tab w:val="left" w:pos="426"/>
        </w:tabs>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地点：深圳市罗湖区清水河街道清水河社区清水河一路112号罗湖投资控股大厦裙楼401</w:t>
      </w:r>
    </w:p>
    <w:p>
      <w:pPr>
        <w:spacing w:line="360" w:lineRule="auto"/>
        <w:rPr>
          <w:rFonts w:ascii="宋体" w:hAnsi="Times New Roman" w:eastAsia="宋体" w:cs="Times New Roman"/>
          <w:b/>
          <w:bCs/>
          <w:szCs w:val="21"/>
        </w:rPr>
      </w:pPr>
      <w:bookmarkStart w:id="38" w:name="_Toc28359007"/>
      <w:bookmarkStart w:id="39" w:name="_Toc35393794"/>
      <w:bookmarkStart w:id="40" w:name="_Toc28359084"/>
      <w:bookmarkStart w:id="41" w:name="_Toc35393625"/>
      <w:bookmarkStart w:id="42" w:name="_Toc150794053"/>
      <w:bookmarkStart w:id="43" w:name="_Toc167352549"/>
      <w:r>
        <w:rPr>
          <w:rFonts w:hint="eastAsia" w:ascii="宋体" w:hAnsi="Times New Roman" w:eastAsia="宋体" w:cs="Times New Roman"/>
          <w:b/>
          <w:bCs/>
          <w:szCs w:val="21"/>
        </w:rPr>
        <w:t>五、公告期限</w:t>
      </w:r>
      <w:bookmarkEnd w:id="38"/>
      <w:bookmarkEnd w:id="39"/>
      <w:bookmarkEnd w:id="40"/>
      <w:bookmarkEnd w:id="41"/>
      <w:bookmarkEnd w:id="42"/>
      <w:bookmarkEnd w:id="43"/>
    </w:p>
    <w:p>
      <w:pPr>
        <w:spacing w:line="36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自本公告发布之日起5个工作日。</w:t>
      </w:r>
    </w:p>
    <w:p>
      <w:pPr>
        <w:spacing w:line="360" w:lineRule="auto"/>
        <w:rPr>
          <w:rFonts w:ascii="宋体" w:hAnsi="Times New Roman" w:eastAsia="宋体" w:cs="Times New Roman"/>
          <w:b/>
          <w:bCs/>
          <w:szCs w:val="21"/>
        </w:rPr>
      </w:pPr>
      <w:bookmarkStart w:id="44" w:name="_Toc35393795"/>
      <w:bookmarkStart w:id="45" w:name="_Toc150794054"/>
      <w:bookmarkStart w:id="46" w:name="_Toc167352550"/>
      <w:bookmarkStart w:id="47" w:name="_Toc35393626"/>
      <w:r>
        <w:rPr>
          <w:rFonts w:hint="eastAsia" w:ascii="宋体" w:hAnsi="Times New Roman" w:eastAsia="宋体" w:cs="Times New Roman"/>
          <w:b/>
          <w:bCs/>
          <w:szCs w:val="21"/>
        </w:rPr>
        <w:t>六、其他补充事宜</w:t>
      </w:r>
      <w:bookmarkEnd w:id="44"/>
      <w:bookmarkEnd w:id="45"/>
      <w:bookmarkEnd w:id="46"/>
      <w:bookmarkEnd w:id="47"/>
    </w:p>
    <w:p>
      <w:pPr>
        <w:spacing w:line="360" w:lineRule="auto"/>
        <w:ind w:firstLine="420" w:firstLineChars="200"/>
        <w:rPr>
          <w:rFonts w:ascii="宋体" w:hAnsi="Times New Roman" w:eastAsia="宋体" w:cs="Times New Roman"/>
          <w:szCs w:val="21"/>
        </w:rPr>
      </w:pPr>
      <w:bookmarkStart w:id="48" w:name="_Toc35393627"/>
      <w:bookmarkStart w:id="49" w:name="_Toc35393796"/>
      <w:bookmarkStart w:id="50" w:name="_Toc150794055"/>
      <w:bookmarkStart w:id="51" w:name="_Toc28359008"/>
      <w:bookmarkStart w:id="52" w:name="_Toc28359085"/>
      <w:r>
        <w:rPr>
          <w:rFonts w:hint="eastAsia" w:ascii="宋体" w:hAnsi="Times New Roman" w:eastAsia="宋体" w:cs="Times New Roman"/>
          <w:szCs w:val="21"/>
        </w:rPr>
        <w:t>1</w:t>
      </w:r>
      <w:r>
        <w:rPr>
          <w:rFonts w:ascii="宋体" w:hAnsi="Times New Roman" w:eastAsia="宋体" w:cs="Times New Roman"/>
          <w:szCs w:val="21"/>
        </w:rPr>
        <w:t>.</w:t>
      </w:r>
      <w:r>
        <w:rPr>
          <w:rFonts w:hint="eastAsia" w:ascii="宋体" w:hAnsi="Times New Roman" w:eastAsia="宋体" w:cs="Times New Roman"/>
          <w:szCs w:val="21"/>
        </w:rPr>
        <w:t>答疑事项：</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（1）</w:t>
      </w:r>
      <w:r>
        <w:rPr>
          <w:rFonts w:ascii="宋体" w:hAnsi="Times New Roman" w:eastAsia="宋体" w:cs="Times New Roman"/>
          <w:szCs w:val="21"/>
        </w:rPr>
        <w:t>本项目实行网下纸质答疑，凡对招标文件有任何疑问的（包括认为招标文件的技术指标或参数存在排他性或歧</w:t>
      </w:r>
      <w:r>
        <w:rPr>
          <w:rFonts w:hint="eastAsia" w:ascii="宋体" w:hAnsi="Times New Roman" w:eastAsia="宋体" w:cs="Times New Roman"/>
          <w:szCs w:val="21"/>
        </w:rPr>
        <w:t>视性条款），请投标供应商在获取采购文件或者采购文件公告期限届满之日起7个工作日内一次性提出针对同一采购程序环节的采购文件提出质疑</w:t>
      </w:r>
      <w:r>
        <w:rPr>
          <w:rFonts w:ascii="宋体" w:hAnsi="Times New Roman" w:eastAsia="宋体" w:cs="Times New Roman"/>
          <w:szCs w:val="21"/>
        </w:rPr>
        <w:t>，根据《</w:t>
      </w:r>
      <w:r>
        <w:rPr>
          <w:rFonts w:hint="eastAsia" w:ascii="宋体" w:hAnsi="Times New Roman" w:eastAsia="宋体" w:cs="Times New Roman"/>
          <w:szCs w:val="21"/>
        </w:rPr>
        <w:t>中华人民共和国政府采购法</w:t>
      </w:r>
      <w:r>
        <w:rPr>
          <w:rFonts w:ascii="宋体" w:hAnsi="Times New Roman" w:eastAsia="宋体" w:cs="Times New Roman"/>
          <w:szCs w:val="21"/>
        </w:rPr>
        <w:t>》第六章</w:t>
      </w:r>
      <w:r>
        <w:rPr>
          <w:rFonts w:hint="eastAsia" w:ascii="宋体" w:hAnsi="Times New Roman" w:eastAsia="宋体" w:cs="Times New Roman"/>
          <w:szCs w:val="21"/>
        </w:rPr>
        <w:t xml:space="preserve"> </w:t>
      </w:r>
      <w:r>
        <w:rPr>
          <w:rFonts w:ascii="宋体" w:hAnsi="Times New Roman" w:eastAsia="宋体" w:cs="Times New Roman"/>
          <w:szCs w:val="21"/>
        </w:rPr>
        <w:t>《</w:t>
      </w:r>
      <w:r>
        <w:rPr>
          <w:rFonts w:hint="eastAsia" w:ascii="宋体" w:hAnsi="Times New Roman" w:eastAsia="宋体" w:cs="Times New Roman"/>
          <w:szCs w:val="21"/>
        </w:rPr>
        <w:t>中华人民共和国政府采购法实施条例</w:t>
      </w:r>
      <w:r>
        <w:rPr>
          <w:rFonts w:ascii="宋体" w:hAnsi="Times New Roman" w:eastAsia="宋体" w:cs="Times New Roman"/>
          <w:szCs w:val="21"/>
        </w:rPr>
        <w:t>》的有关质疑的指引及要求填写质疑函件，并将质疑函件以及相关质疑内容的证明材料原件送达深圳市深水水务咨询有限公司，逾期不受理。</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szCs w:val="21"/>
        </w:rPr>
        <w:t>投标供应商有义务在招标活动期间浏览本公告“六、</w:t>
      </w:r>
      <w:r>
        <w:rPr>
          <w:rFonts w:hint="eastAsia" w:ascii="宋体" w:hAnsi="Times New Roman" w:eastAsia="宋体" w:cs="Times New Roman"/>
          <w:szCs w:val="21"/>
        </w:rPr>
        <w:t>其他补充事宜</w:t>
      </w:r>
      <w:r>
        <w:rPr>
          <w:rFonts w:ascii="宋体" w:hAnsi="Times New Roman" w:eastAsia="宋体" w:cs="Times New Roman"/>
          <w:szCs w:val="21"/>
        </w:rPr>
        <w:t>”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2</w:t>
      </w:r>
      <w:r>
        <w:rPr>
          <w:rFonts w:ascii="宋体" w:hAnsi="Times New Roman" w:eastAsia="宋体" w:cs="Times New Roman"/>
          <w:szCs w:val="21"/>
        </w:rPr>
        <w:t>.</w:t>
      </w:r>
      <w:r>
        <w:rPr>
          <w:rFonts w:hint="eastAsia" w:ascii="宋体" w:hAnsi="Times New Roman" w:eastAsia="宋体" w:cs="Times New Roman"/>
          <w:szCs w:val="21"/>
        </w:rPr>
        <w:t>投标文件提交方式补充说明：</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各投标人法定代表人或其授权代表可通过邮寄方式，按照规定的递交投标文件截止时间前向我公司邮寄投标文件，快递单上写明供应商名称、项目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3</w:t>
      </w:r>
      <w:r>
        <w:rPr>
          <w:rFonts w:ascii="宋体" w:hAnsi="Times New Roman" w:eastAsia="宋体" w:cs="Times New Roman"/>
          <w:szCs w:val="21"/>
        </w:rPr>
        <w:t>.</w:t>
      </w:r>
      <w:r>
        <w:rPr>
          <w:rFonts w:hint="eastAsia" w:ascii="宋体" w:hAnsi="Times New Roman" w:eastAsia="宋体" w:cs="Times New Roman"/>
          <w:szCs w:val="21"/>
        </w:rPr>
        <w:t>信息发布平台：</w:t>
      </w:r>
    </w:p>
    <w:p>
      <w:pPr>
        <w:spacing w:line="36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深圳海关门户网（</w:t>
      </w:r>
      <w:r>
        <w:rPr>
          <w:rFonts w:ascii="宋体" w:hAnsi="Times New Roman" w:eastAsia="宋体" w:cs="宋体"/>
          <w:kern w:val="0"/>
          <w:szCs w:val="24"/>
        </w:rPr>
        <w:t>http://shenzhen.customs.gov.cn</w:t>
      </w:r>
      <w:r>
        <w:rPr>
          <w:rFonts w:hint="eastAsia" w:ascii="宋体" w:hAnsi="Times New Roman" w:eastAsia="宋体" w:cs="宋体"/>
          <w:kern w:val="0"/>
          <w:szCs w:val="24"/>
        </w:rPr>
        <w:t>）；</w:t>
      </w:r>
    </w:p>
    <w:p>
      <w:pPr>
        <w:spacing w:line="360" w:lineRule="auto"/>
        <w:ind w:firstLine="420" w:firstLineChars="200"/>
        <w:rPr>
          <w:rFonts w:ascii="宋体" w:hAnsi="Times New Roman" w:eastAsia="宋体" w:cs="Times New Roman"/>
          <w:szCs w:val="21"/>
        </w:rPr>
      </w:pPr>
      <w:r>
        <w:rPr>
          <w:rFonts w:hint="eastAsia" w:ascii="宋体" w:hAnsi="Times New Roman" w:eastAsia="宋体" w:cs="宋体"/>
          <w:kern w:val="0"/>
          <w:szCs w:val="24"/>
        </w:rPr>
        <w:t>采购代理机构官网（</w:t>
      </w:r>
      <w:r>
        <w:rPr>
          <w:rFonts w:ascii="宋体" w:hAnsi="Times New Roman" w:eastAsia="宋体" w:cs="宋体"/>
          <w:kern w:val="0"/>
          <w:szCs w:val="24"/>
        </w:rPr>
        <w:t>http://www.szsszx.com/</w:t>
      </w:r>
      <w:r>
        <w:rPr>
          <w:rFonts w:hint="eastAsia" w:ascii="宋体" w:hAnsi="Times New Roman" w:eastAsia="宋体" w:cs="宋体"/>
          <w:kern w:val="0"/>
          <w:szCs w:val="24"/>
        </w:rPr>
        <w:t>）。</w:t>
      </w:r>
    </w:p>
    <w:p>
      <w:pPr>
        <w:spacing w:line="360" w:lineRule="auto"/>
        <w:rPr>
          <w:rFonts w:ascii="宋体" w:hAnsi="Times New Roman" w:eastAsia="宋体" w:cs="Times New Roman"/>
          <w:b/>
          <w:bCs/>
          <w:szCs w:val="21"/>
        </w:rPr>
      </w:pPr>
      <w:bookmarkStart w:id="53" w:name="_Toc167352551"/>
      <w:r>
        <w:rPr>
          <w:rFonts w:hint="eastAsia" w:ascii="宋体" w:hAnsi="Times New Roman" w:eastAsia="宋体" w:cs="Times New Roman"/>
          <w:b/>
          <w:bCs/>
          <w:szCs w:val="21"/>
        </w:rPr>
        <w:t>七、对本次招标提出询问，请按</w:t>
      </w:r>
      <w:r>
        <w:rPr>
          <w:rFonts w:ascii="宋体" w:hAnsi="Times New Roman" w:eastAsia="宋体" w:cs="Times New Roman"/>
          <w:b/>
          <w:bCs/>
          <w:szCs w:val="21"/>
        </w:rPr>
        <w:t>以下方式</w:t>
      </w:r>
      <w:r>
        <w:rPr>
          <w:rFonts w:hint="eastAsia" w:ascii="宋体" w:hAnsi="Times New Roman" w:eastAsia="宋体" w:cs="Times New Roman"/>
          <w:b/>
          <w:bCs/>
          <w:szCs w:val="21"/>
        </w:rPr>
        <w:t>联系。</w:t>
      </w:r>
      <w:bookmarkEnd w:id="48"/>
      <w:bookmarkEnd w:id="49"/>
      <w:bookmarkEnd w:id="50"/>
      <w:bookmarkEnd w:id="51"/>
      <w:bookmarkEnd w:id="52"/>
      <w:bookmarkEnd w:id="53"/>
    </w:p>
    <w:p>
      <w:pPr>
        <w:widowControl/>
        <w:spacing w:line="360" w:lineRule="auto"/>
        <w:ind w:firstLine="420" w:firstLineChars="200"/>
        <w:jc w:val="left"/>
        <w:rPr>
          <w:rFonts w:ascii="宋体" w:hAnsi="Times New Roman" w:eastAsia="宋体" w:cs="Times New Roman"/>
          <w:szCs w:val="21"/>
        </w:rPr>
      </w:pPr>
      <w:r>
        <w:rPr>
          <w:rFonts w:hint="eastAsia" w:ascii="宋体" w:hAnsi="Times New Roman" w:eastAsia="宋体" w:cs="宋体"/>
          <w:szCs w:val="21"/>
        </w:rPr>
        <w:t>1.采购人信息</w:t>
      </w:r>
    </w:p>
    <w:p>
      <w:pPr>
        <w:spacing w:line="360" w:lineRule="auto"/>
        <w:ind w:firstLine="420" w:firstLineChars="200"/>
        <w:jc w:val="left"/>
        <w:rPr>
          <w:rFonts w:ascii="宋体" w:hAnsi="Times New Roman" w:eastAsia="宋体" w:cs="Times New Roman"/>
          <w:szCs w:val="21"/>
        </w:rPr>
      </w:pPr>
      <w:r>
        <w:rPr>
          <w:rFonts w:hint="eastAsia" w:ascii="宋体" w:hAnsi="Times New Roman" w:eastAsia="宋体" w:cs="Times New Roman"/>
          <w:szCs w:val="21"/>
        </w:rPr>
        <w:t>名称：深圳海关后勤管理中心、深圳市深海悦物业管理服务有限公司、深圳市鹏检物业管理有限公司</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地址：深圳市福田区福强路1011号、深圳市罗湖区和平路1163号龙兴大厦一层101-102房、深圳市和平路2049号</w:t>
      </w:r>
    </w:p>
    <w:p>
      <w:pPr>
        <w:spacing w:line="360" w:lineRule="auto"/>
        <w:ind w:firstLine="420" w:firstLineChars="200"/>
        <w:jc w:val="left"/>
        <w:rPr>
          <w:rFonts w:ascii="宋体" w:hAnsi="Times New Roman" w:eastAsia="宋体" w:cs="Times New Roman"/>
          <w:szCs w:val="21"/>
        </w:rPr>
      </w:pPr>
      <w:bookmarkStart w:id="54" w:name="_Toc28359009"/>
      <w:bookmarkStart w:id="55" w:name="_Toc28359086"/>
      <w:r>
        <w:rPr>
          <w:rFonts w:hint="eastAsia" w:ascii="宋体" w:hAnsi="Times New Roman" w:eastAsia="宋体" w:cs="Times New Roman"/>
          <w:szCs w:val="21"/>
        </w:rPr>
        <w:t>联系方式：刘先生0755-84394179</w:t>
      </w:r>
    </w:p>
    <w:p>
      <w:pPr>
        <w:spacing w:line="360" w:lineRule="auto"/>
        <w:ind w:firstLine="420" w:firstLineChars="200"/>
        <w:jc w:val="left"/>
        <w:rPr>
          <w:rFonts w:ascii="宋体" w:hAnsi="Times New Roman" w:eastAsia="宋体" w:cs="Times New Roman"/>
          <w:szCs w:val="21"/>
        </w:rPr>
      </w:pPr>
      <w:r>
        <w:rPr>
          <w:rFonts w:hint="eastAsia" w:ascii="宋体" w:hAnsi="Times New Roman" w:eastAsia="宋体" w:cs="Times New Roman"/>
          <w:szCs w:val="21"/>
        </w:rPr>
        <w:t>采购人监督投诉电话：0755-84398457</w:t>
      </w:r>
    </w:p>
    <w:p>
      <w:pPr>
        <w:spacing w:line="360" w:lineRule="auto"/>
        <w:ind w:firstLine="420" w:firstLineChars="200"/>
        <w:jc w:val="left"/>
        <w:rPr>
          <w:rFonts w:ascii="宋体" w:hAnsi="Times New Roman" w:eastAsia="宋体" w:cs="Times New Roman"/>
          <w:szCs w:val="21"/>
        </w:rPr>
      </w:pPr>
      <w:r>
        <w:rPr>
          <w:rFonts w:hint="eastAsia" w:ascii="宋体" w:hAnsi="Times New Roman" w:eastAsia="宋体" w:cs="宋体"/>
          <w:szCs w:val="21"/>
        </w:rPr>
        <w:t>2.采购代理机构信息</w:t>
      </w:r>
      <w:bookmarkEnd w:id="54"/>
      <w:bookmarkEnd w:id="55"/>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名称：深圳市深水水务咨询有限公司</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地址：深圳市罗湖区清水河街道清水河社区清水河一路112号罗湖投资控股大厦裙楼401</w:t>
      </w:r>
    </w:p>
    <w:p>
      <w:pPr>
        <w:spacing w:line="360" w:lineRule="auto"/>
        <w:ind w:firstLine="420" w:firstLineChars="200"/>
        <w:rPr>
          <w:rFonts w:ascii="宋体" w:hAnsi="Times New Roman" w:eastAsia="宋体" w:cs="Times New Roman"/>
          <w:szCs w:val="21"/>
        </w:rPr>
      </w:pPr>
      <w:bookmarkStart w:id="56" w:name="_Toc28359087"/>
      <w:bookmarkStart w:id="57" w:name="_Toc28359010"/>
      <w:r>
        <w:rPr>
          <w:rFonts w:hint="eastAsia" w:ascii="宋体" w:hAnsi="Times New Roman" w:eastAsia="宋体" w:cs="Times New Roman"/>
          <w:szCs w:val="21"/>
        </w:rPr>
        <w:t>联系方式：庄晓琴0755-25165821/13688812350/Email：498174886@qq.com</w:t>
      </w:r>
    </w:p>
    <w:p>
      <w:pPr>
        <w:spacing w:line="360" w:lineRule="auto"/>
        <w:ind w:firstLine="420" w:firstLineChars="200"/>
        <w:rPr>
          <w:rFonts w:ascii="宋体" w:hAnsi="Times New Roman" w:eastAsia="宋体" w:cs="Times New Roman"/>
          <w:szCs w:val="21"/>
        </w:rPr>
      </w:pPr>
      <w:r>
        <w:rPr>
          <w:rFonts w:hint="eastAsia" w:ascii="宋体" w:hAnsi="Times New Roman" w:eastAsia="宋体" w:cs="宋体"/>
          <w:szCs w:val="21"/>
        </w:rPr>
        <w:t>3.项目</w:t>
      </w:r>
      <w:r>
        <w:rPr>
          <w:rFonts w:ascii="宋体" w:hAnsi="Times New Roman" w:eastAsia="宋体" w:cs="宋体"/>
          <w:szCs w:val="21"/>
        </w:rPr>
        <w:t>联系方式</w:t>
      </w:r>
      <w:bookmarkEnd w:id="56"/>
      <w:bookmarkEnd w:id="57"/>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项目联系人：庄晓琴、李夏冰</w:t>
      </w:r>
    </w:p>
    <w:p>
      <w:pPr>
        <w:spacing w:line="360" w:lineRule="auto"/>
        <w:ind w:firstLine="420" w:firstLineChars="200"/>
        <w:rPr>
          <w:rFonts w:ascii="宋体" w:hAnsi="Times New Roman" w:eastAsia="宋体" w:cs="宋体"/>
          <w:kern w:val="0"/>
          <w:szCs w:val="21"/>
        </w:rPr>
      </w:pPr>
      <w:r>
        <w:rPr>
          <w:rFonts w:hint="eastAsia" w:ascii="宋体" w:hAnsi="Times New Roman" w:eastAsia="宋体" w:cs="Times New Roman"/>
          <w:szCs w:val="21"/>
        </w:rPr>
        <w:t>电话：</w:t>
      </w:r>
      <w:r>
        <w:rPr>
          <w:rFonts w:ascii="宋体" w:hAnsi="Times New Roman" w:eastAsia="宋体" w:cs="Times New Roman"/>
          <w:szCs w:val="21"/>
        </w:rPr>
        <w:t>0755-25165821/13688812350</w:t>
      </w:r>
    </w:p>
    <w:p>
      <w:pPr>
        <w:widowControl/>
        <w:shd w:val="clear" w:color="auto" w:fill="FFFFFF"/>
        <w:tabs>
          <w:tab w:val="left" w:pos="426"/>
        </w:tabs>
        <w:adjustRightInd w:val="0"/>
        <w:snapToGrid w:val="0"/>
        <w:spacing w:line="360" w:lineRule="auto"/>
        <w:ind w:firstLine="424" w:firstLineChars="202"/>
        <w:jc w:val="right"/>
        <w:rPr>
          <w:rFonts w:ascii="宋体" w:hAnsi="Times New Roman" w:eastAsia="宋体" w:cs="宋体"/>
          <w:kern w:val="0"/>
          <w:szCs w:val="21"/>
        </w:rPr>
      </w:pPr>
      <w:r>
        <w:rPr>
          <w:rFonts w:hint="eastAsia" w:ascii="宋体" w:hAnsi="Times New Roman" w:eastAsia="宋体" w:cs="宋体"/>
          <w:kern w:val="0"/>
          <w:szCs w:val="21"/>
        </w:rPr>
        <w:t>深圳市深水水务咨询有限公司</w:t>
      </w:r>
    </w:p>
    <w:p>
      <w:pPr>
        <w:widowControl/>
        <w:shd w:val="clear" w:color="auto" w:fill="FFFFFF"/>
        <w:tabs>
          <w:tab w:val="left" w:pos="426"/>
        </w:tabs>
        <w:adjustRightInd w:val="0"/>
        <w:snapToGrid w:val="0"/>
        <w:spacing w:line="360" w:lineRule="auto"/>
        <w:ind w:firstLine="424" w:firstLineChars="202"/>
        <w:jc w:val="right"/>
        <w:rPr>
          <w:rFonts w:ascii="宋体" w:hAnsi="Times New Roman" w:eastAsia="宋体" w:cs="宋体"/>
          <w:kern w:val="0"/>
          <w:szCs w:val="21"/>
        </w:rPr>
      </w:pPr>
      <w:r>
        <w:rPr>
          <w:rFonts w:hint="eastAsia" w:ascii="宋体" w:hAnsi="Times New Roman" w:eastAsia="宋体" w:cs="宋体"/>
          <w:kern w:val="0"/>
          <w:szCs w:val="21"/>
        </w:rPr>
        <w:t>202</w:t>
      </w:r>
      <w:r>
        <w:rPr>
          <w:rFonts w:ascii="宋体" w:hAnsi="Times New Roman" w:eastAsia="宋体" w:cs="宋体"/>
          <w:kern w:val="0"/>
          <w:szCs w:val="21"/>
        </w:rPr>
        <w:t>4</w:t>
      </w:r>
      <w:r>
        <w:rPr>
          <w:rFonts w:hint="eastAsia" w:ascii="宋体" w:hAnsi="Times New Roman" w:eastAsia="宋体" w:cs="宋体"/>
          <w:kern w:val="0"/>
          <w:szCs w:val="21"/>
        </w:rPr>
        <w:t>年</w:t>
      </w:r>
      <w:r>
        <w:rPr>
          <w:rFonts w:hint="eastAsia" w:ascii="宋体" w:hAnsi="Times New Roman" w:eastAsia="宋体" w:cs="Times New Roman"/>
          <w:kern w:val="0"/>
          <w:szCs w:val="21"/>
          <w:lang w:val="en-US" w:eastAsia="zh-CN"/>
        </w:rPr>
        <w:t>12</w:t>
      </w:r>
      <w:r>
        <w:rPr>
          <w:rFonts w:hint="eastAsia" w:ascii="宋体" w:hAnsi="Times New Roman" w:eastAsia="宋体" w:cs="宋体"/>
          <w:kern w:val="0"/>
          <w:szCs w:val="21"/>
        </w:rPr>
        <w:t>月</w:t>
      </w:r>
      <w:r>
        <w:rPr>
          <w:rFonts w:hint="eastAsia" w:ascii="宋体" w:hAnsi="Times New Roman" w:eastAsia="宋体" w:cs="Times New Roman"/>
          <w:kern w:val="0"/>
          <w:szCs w:val="21"/>
          <w:lang w:val="en-US" w:eastAsia="zh-CN"/>
        </w:rPr>
        <w:t>3</w:t>
      </w:r>
      <w:r>
        <w:rPr>
          <w:rFonts w:hint="eastAsia" w:ascii="宋体" w:hAnsi="Times New Roman" w:eastAsia="宋体" w:cs="宋体"/>
          <w:kern w:val="0"/>
          <w:szCs w:val="21"/>
        </w:rPr>
        <w:t>日</w:t>
      </w:r>
    </w:p>
    <w:bookmarkEnd w:id="191"/>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720" w:num="1"/>
          <w:titlePg/>
          <w:docGrid w:linePitch="462" w:charSpace="0"/>
        </w:sectPr>
      </w:pPr>
      <w:bookmarkStart w:id="58" w:name="_Toc432592814"/>
    </w:p>
    <w:p>
      <w:pPr>
        <w:widowControl/>
        <w:shd w:val="clear" w:color="auto" w:fill="FFFFFF"/>
        <w:adjustRightInd w:val="0"/>
        <w:snapToGrid w:val="0"/>
        <w:spacing w:before="240" w:after="60" w:line="312" w:lineRule="auto"/>
        <w:ind w:firstLine="562"/>
        <w:jc w:val="center"/>
        <w:outlineLvl w:val="1"/>
        <w:rPr>
          <w:rFonts w:ascii="Cambria" w:hAnsi="Cambria" w:eastAsia="宋体" w:cs="Times New Roman"/>
          <w:b/>
          <w:bCs/>
          <w:kern w:val="28"/>
          <w:sz w:val="28"/>
          <w:szCs w:val="32"/>
        </w:rPr>
      </w:pPr>
      <w:bookmarkStart w:id="59" w:name="_Toc167352552"/>
      <w:r>
        <w:rPr>
          <w:rFonts w:hint="eastAsia" w:ascii="Cambria" w:hAnsi="Cambria" w:eastAsia="宋体" w:cs="Times New Roman"/>
          <w:b/>
          <w:bCs/>
          <w:kern w:val="28"/>
          <w:sz w:val="28"/>
          <w:szCs w:val="32"/>
        </w:rPr>
        <w:t>第二章</w:t>
      </w:r>
      <w:bookmarkEnd w:id="58"/>
      <w:r>
        <w:rPr>
          <w:rFonts w:hint="eastAsia" w:ascii="Cambria" w:hAnsi="Cambria" w:eastAsia="宋体" w:cs="Times New Roman"/>
          <w:b/>
          <w:bCs/>
          <w:kern w:val="28"/>
          <w:sz w:val="28"/>
          <w:szCs w:val="32"/>
        </w:rPr>
        <w:t xml:space="preserve"> 投标须知前附表</w:t>
      </w:r>
      <w:bookmarkEnd w:id="59"/>
    </w:p>
    <w:p>
      <w:pPr>
        <w:widowControl/>
        <w:shd w:val="clear" w:color="auto" w:fill="FFFFFF"/>
        <w:adjustRightInd w:val="0"/>
        <w:snapToGrid w:val="0"/>
        <w:ind w:right="-174" w:rightChars="-83"/>
        <w:rPr>
          <w:rFonts w:ascii="宋体" w:hAnsi="Times New Roman" w:eastAsia="宋体" w:cs="宋体"/>
          <w:kern w:val="0"/>
          <w:szCs w:val="24"/>
        </w:rPr>
      </w:pPr>
      <w:r>
        <w:rPr>
          <w:rFonts w:hint="eastAsia" w:ascii="宋体" w:hAnsi="Times New Roman" w:eastAsia="宋体" w:cs="宋体"/>
          <w:kern w:val="0"/>
          <w:szCs w:val="24"/>
        </w:rPr>
        <w:t>说明：本表是对通用条款《投标供应商须知》条款的补充、修改和完善，如果有矛盾，应以本表为准。</w:t>
      </w:r>
    </w:p>
    <w:tbl>
      <w:tblPr>
        <w:tblStyle w:val="86"/>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9"/>
        <w:gridCol w:w="69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序号</w:t>
            </w:r>
          </w:p>
        </w:tc>
        <w:tc>
          <w:tcPr>
            <w:tcW w:w="1889"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内容</w:t>
            </w:r>
          </w:p>
        </w:tc>
        <w:tc>
          <w:tcPr>
            <w:tcW w:w="6931"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1</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联合体投标</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2</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ascii="宋体" w:hAnsi="Times New Roman" w:eastAsia="宋体" w:cs="宋体"/>
                <w:kern w:val="0"/>
                <w:szCs w:val="24"/>
              </w:rPr>
              <w:t>踏勘现场</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■不组织。</w:t>
            </w:r>
          </w:p>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□组织。踏勘时间：</w:t>
            </w:r>
            <w:r>
              <w:rPr>
                <w:rFonts w:hint="eastAsia" w:ascii="宋体" w:hAnsi="Times New Roman" w:eastAsia="宋体" w:cs="宋体"/>
                <w:kern w:val="0"/>
                <w:szCs w:val="24"/>
                <w:u w:val="single"/>
              </w:rPr>
              <w:t>______年____月___日____时____分</w:t>
            </w:r>
          </w:p>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 xml:space="preserve">        集合地点：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3</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投标供应商提出疑问截止时间</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在获取采购文件或者采购文件公告期限届满之日起7个工作日内一次性提出针对同一采购程序环节的采购文件提出质疑。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4</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澄清或修补、答疑的期限</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截标之日（当日不计）15</w:t>
            </w:r>
            <w:r>
              <w:rPr>
                <w:rFonts w:ascii="宋体" w:hAnsi="Times New Roman" w:eastAsia="宋体" w:cs="宋体"/>
                <w:kern w:val="0"/>
                <w:szCs w:val="24"/>
              </w:rPr>
              <w:t>日</w:t>
            </w:r>
            <w:r>
              <w:rPr>
                <w:rFonts w:hint="eastAsia" w:ascii="宋体" w:hAnsi="Times New Roman" w:eastAsia="宋体" w:cs="宋体"/>
                <w:kern w:val="0"/>
                <w:szCs w:val="24"/>
              </w:rPr>
              <w:t>前17：30点前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5</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招标代理</w:t>
            </w:r>
            <w:r>
              <w:rPr>
                <w:rFonts w:ascii="宋体" w:hAnsi="Times New Roman" w:eastAsia="宋体" w:cs="宋体"/>
                <w:kern w:val="0"/>
                <w:szCs w:val="24"/>
              </w:rPr>
              <w:t>服务费</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采购代理机构以中标金额为计算基数，</w:t>
            </w:r>
            <w:r>
              <w:rPr>
                <w:rFonts w:ascii="宋体" w:hAnsi="Times New Roman" w:eastAsia="宋体" w:cs="宋体"/>
                <w:kern w:val="0"/>
                <w:szCs w:val="24"/>
              </w:rPr>
              <w:t>按差额定率累进法计算</w:t>
            </w:r>
            <w:r>
              <w:rPr>
                <w:rFonts w:hint="eastAsia" w:ascii="宋体" w:hAnsi="Times New Roman" w:eastAsia="宋体" w:cs="宋体"/>
                <w:kern w:val="0"/>
                <w:szCs w:val="24"/>
              </w:rPr>
              <w:t>，</w:t>
            </w:r>
            <w:r>
              <w:rPr>
                <w:rFonts w:ascii="宋体" w:hAnsi="Times New Roman" w:eastAsia="宋体" w:cs="宋体"/>
                <w:kern w:val="0"/>
                <w:szCs w:val="24"/>
              </w:rPr>
              <w:t>向中标供应商收取。</w:t>
            </w:r>
            <w:r>
              <w:rPr>
                <w:rFonts w:hint="eastAsia" w:ascii="宋体" w:hAnsi="Times New Roman" w:eastAsia="宋体" w:cs="宋体"/>
                <w:kern w:val="0"/>
                <w:szCs w:val="24"/>
              </w:rPr>
              <w:t>交易服务费采用转账的方式，账户信息如下：</w:t>
            </w:r>
          </w:p>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户名：深圳市深水水务咨询有限公司</w:t>
            </w:r>
          </w:p>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账号：</w:t>
            </w:r>
            <w:r>
              <w:rPr>
                <w:rFonts w:ascii="宋体" w:hAnsi="Times New Roman" w:eastAsia="宋体" w:cs="宋体"/>
                <w:kern w:val="0"/>
                <w:szCs w:val="24"/>
              </w:rPr>
              <w:t>443899991010003343618</w:t>
            </w:r>
          </w:p>
          <w:p>
            <w:pPr>
              <w:widowControl/>
              <w:shd w:val="clear" w:color="auto" w:fill="FFFFFF"/>
              <w:spacing w:line="320" w:lineRule="exact"/>
              <w:rPr>
                <w:rFonts w:ascii="宋体" w:hAnsi="Times New Roman" w:eastAsia="宋体" w:cs="宋体"/>
                <w:szCs w:val="24"/>
              </w:rPr>
            </w:pPr>
            <w:r>
              <w:rPr>
                <w:rFonts w:hint="eastAsia" w:ascii="宋体" w:hAnsi="Times New Roman" w:eastAsia="宋体" w:cs="宋体"/>
                <w:kern w:val="0"/>
                <w:szCs w:val="24"/>
              </w:rPr>
              <w:t>开户行：交通银行深圳金叶支行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6</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ascii="宋体" w:hAnsi="Times New Roman" w:eastAsia="宋体" w:cs="宋体"/>
                <w:kern w:val="0"/>
                <w:szCs w:val="24"/>
              </w:rPr>
              <w:t>投标</w:t>
            </w:r>
            <w:r>
              <w:rPr>
                <w:rFonts w:hint="eastAsia" w:ascii="宋体" w:hAnsi="Times New Roman" w:eastAsia="宋体" w:cs="宋体"/>
                <w:kern w:val="0"/>
                <w:szCs w:val="24"/>
              </w:rPr>
              <w:t>担保</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■不提交          □</w:t>
            </w:r>
            <w:r>
              <w:rPr>
                <w:rFonts w:ascii="宋体" w:hAnsi="Times New Roman" w:eastAsia="宋体" w:cs="宋体"/>
                <w:kern w:val="0"/>
                <w:szCs w:val="24"/>
              </w:rPr>
              <w:t>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7</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ascii="宋体" w:hAnsi="Times New Roman" w:eastAsia="宋体" w:cs="宋体"/>
                <w:kern w:val="0"/>
                <w:szCs w:val="24"/>
              </w:rPr>
              <w:t>投标有效期</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90</w:t>
            </w:r>
            <w:r>
              <w:rPr>
                <w:rFonts w:ascii="宋体" w:hAnsi="Times New Roman" w:eastAsia="宋体" w:cs="宋体"/>
                <w:kern w:val="0"/>
                <w:szCs w:val="24"/>
              </w:rPr>
              <w:t>日历天（</w:t>
            </w:r>
            <w:r>
              <w:rPr>
                <w:rFonts w:hint="eastAsia" w:ascii="宋体" w:hAnsi="Times New Roman" w:eastAsia="宋体" w:cs="宋体"/>
                <w:kern w:val="0"/>
                <w:szCs w:val="24"/>
              </w:rPr>
              <w:t>从投标截止之日算起</w:t>
            </w:r>
            <w:r>
              <w:rPr>
                <w:rFonts w:ascii="宋体" w:hAnsi="Times New Roman" w:eastAsia="宋体" w:cs="宋体"/>
                <w:kern w:val="0"/>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8</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替代方案</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9</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评定分离</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10</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ascii="宋体" w:hAnsi="Times New Roman" w:eastAsia="宋体" w:cs="宋体"/>
                <w:kern w:val="0"/>
                <w:szCs w:val="24"/>
              </w:rPr>
              <w:t>评标</w:t>
            </w:r>
            <w:r>
              <w:rPr>
                <w:rFonts w:hint="eastAsia" w:ascii="宋体" w:hAnsi="Times New Roman" w:eastAsia="宋体" w:cs="宋体"/>
                <w:kern w:val="0"/>
                <w:szCs w:val="24"/>
              </w:rPr>
              <w:t>方</w:t>
            </w:r>
            <w:r>
              <w:rPr>
                <w:rFonts w:ascii="宋体" w:hAnsi="Times New Roman" w:eastAsia="宋体" w:cs="宋体"/>
                <w:kern w:val="0"/>
                <w:szCs w:val="24"/>
              </w:rPr>
              <w:t>法</w:t>
            </w:r>
          </w:p>
        </w:tc>
        <w:tc>
          <w:tcPr>
            <w:tcW w:w="6931" w:type="dxa"/>
            <w:vAlign w:val="center"/>
          </w:tcPr>
          <w:p>
            <w:pPr>
              <w:widowControl/>
              <w:shd w:val="clear" w:color="auto" w:fill="FFFFFF"/>
              <w:spacing w:line="320" w:lineRule="exact"/>
              <w:rPr>
                <w:rFonts w:ascii="宋体" w:hAnsi="Times New Roman" w:eastAsia="宋体" w:cs="宋体"/>
                <w:kern w:val="0"/>
                <w:szCs w:val="21"/>
              </w:rPr>
            </w:pPr>
            <w:r>
              <w:rPr>
                <w:rFonts w:hint="eastAsia" w:ascii="宋体" w:hAnsi="Times New Roman" w:eastAsia="宋体" w:cs="宋体"/>
                <w:kern w:val="0"/>
                <w:szCs w:val="24"/>
              </w:rPr>
              <w:t>■</w:t>
            </w:r>
            <w:r>
              <w:rPr>
                <w:rFonts w:hint="eastAsia" w:ascii="宋体" w:hAnsi="Times New Roman" w:eastAsia="宋体" w:cs="宋体"/>
                <w:kern w:val="0"/>
                <w:szCs w:val="21"/>
              </w:rPr>
              <w:t xml:space="preserve">综合评分法      </w:t>
            </w:r>
            <w:r>
              <w:rPr>
                <w:rFonts w:hint="eastAsia" w:ascii="宋体" w:hAnsi="Times New Roman" w:eastAsia="宋体" w:cs="宋体"/>
                <w:kern w:val="0"/>
                <w:szCs w:val="24"/>
              </w:rPr>
              <w:t>□</w:t>
            </w:r>
            <w:r>
              <w:rPr>
                <w:rFonts w:hint="eastAsia" w:ascii="宋体" w:hAnsi="Times New Roman" w:eastAsia="宋体" w:cs="宋体"/>
                <w:kern w:val="0"/>
                <w:szCs w:val="21"/>
              </w:rPr>
              <w:t xml:space="preserve">定性评审法      </w:t>
            </w:r>
            <w:r>
              <w:rPr>
                <w:rFonts w:hint="eastAsia" w:ascii="宋体" w:hAnsi="Times New Roman" w:eastAsia="宋体" w:cs="宋体"/>
                <w:kern w:val="0"/>
                <w:szCs w:val="24"/>
              </w:rPr>
              <w:t>□</w:t>
            </w:r>
            <w:r>
              <w:rPr>
                <w:rFonts w:hint="eastAsia" w:ascii="宋体" w:hAnsi="Times New Roman" w:eastAsia="宋体" w:cs="宋体"/>
                <w:kern w:val="0"/>
                <w:szCs w:val="21"/>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11</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定</w:t>
            </w:r>
            <w:r>
              <w:rPr>
                <w:rFonts w:ascii="宋体" w:hAnsi="Times New Roman" w:eastAsia="宋体" w:cs="宋体"/>
                <w:kern w:val="0"/>
                <w:szCs w:val="24"/>
              </w:rPr>
              <w:t>标</w:t>
            </w:r>
            <w:r>
              <w:rPr>
                <w:rFonts w:hint="eastAsia" w:ascii="宋体" w:hAnsi="Times New Roman" w:eastAsia="宋体" w:cs="宋体"/>
                <w:kern w:val="0"/>
                <w:szCs w:val="24"/>
              </w:rPr>
              <w:t>方</w:t>
            </w:r>
            <w:r>
              <w:rPr>
                <w:rFonts w:ascii="宋体" w:hAnsi="Times New Roman" w:eastAsia="宋体" w:cs="宋体"/>
                <w:kern w:val="0"/>
                <w:szCs w:val="24"/>
              </w:rPr>
              <w:t>法</w:t>
            </w:r>
          </w:p>
        </w:tc>
        <w:tc>
          <w:tcPr>
            <w:tcW w:w="6931" w:type="dxa"/>
            <w:vAlign w:val="center"/>
          </w:tcPr>
          <w:p>
            <w:pPr>
              <w:widowControl/>
              <w:shd w:val="clear" w:color="auto" w:fill="FFFFFF"/>
              <w:spacing w:line="320" w:lineRule="exact"/>
              <w:rPr>
                <w:rFonts w:ascii="宋体" w:hAnsi="Times New Roman" w:eastAsia="宋体" w:cs="宋体"/>
                <w:kern w:val="0"/>
                <w:szCs w:val="21"/>
              </w:rPr>
            </w:pPr>
            <w:r>
              <w:rPr>
                <w:rFonts w:hint="eastAsia" w:ascii="宋体" w:hAnsi="Times New Roman" w:eastAsia="宋体" w:cs="宋体"/>
                <w:kern w:val="0"/>
                <w:szCs w:val="24"/>
              </w:rPr>
              <w:t>□</w:t>
            </w:r>
            <w:r>
              <w:rPr>
                <w:rFonts w:hint="eastAsia" w:ascii="宋体" w:hAnsi="Times New Roman" w:eastAsia="宋体" w:cs="宋体"/>
                <w:kern w:val="0"/>
                <w:szCs w:val="21"/>
              </w:rPr>
              <w:t xml:space="preserve">自定法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12</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ascii="宋体" w:hAnsi="Times New Roman" w:eastAsia="宋体" w:cs="宋体"/>
                <w:kern w:val="0"/>
                <w:szCs w:val="24"/>
              </w:rPr>
              <w:t>履约保证金</w:t>
            </w:r>
          </w:p>
        </w:tc>
        <w:tc>
          <w:tcPr>
            <w:tcW w:w="6931" w:type="dxa"/>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■不</w:t>
            </w:r>
            <w:r>
              <w:rPr>
                <w:rFonts w:ascii="宋体" w:hAnsi="Times New Roman" w:eastAsia="宋体" w:cs="宋体"/>
                <w:kern w:val="0"/>
                <w:szCs w:val="24"/>
              </w:rPr>
              <w:t>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13</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ascii="宋体" w:hAnsi="Times New Roman" w:eastAsia="宋体" w:cs="宋体"/>
                <w:kern w:val="0"/>
                <w:szCs w:val="24"/>
              </w:rPr>
              <w:t>投标文件份数</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（1）开标信封一份；</w:t>
            </w:r>
          </w:p>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（2）纸质投标文件</w:t>
            </w:r>
            <w:r>
              <w:rPr>
                <w:rFonts w:ascii="宋体" w:hAnsi="Times New Roman" w:eastAsia="宋体" w:cs="宋体"/>
                <w:kern w:val="0"/>
                <w:szCs w:val="24"/>
                <w:u w:val="single"/>
              </w:rPr>
              <w:t>一</w:t>
            </w:r>
            <w:r>
              <w:rPr>
                <w:rFonts w:ascii="宋体" w:hAnsi="Times New Roman" w:eastAsia="宋体" w:cs="宋体"/>
                <w:kern w:val="0"/>
                <w:szCs w:val="24"/>
              </w:rPr>
              <w:t>正本，</w:t>
            </w:r>
            <w:r>
              <w:rPr>
                <w:rFonts w:hint="eastAsia" w:ascii="宋体" w:hAnsi="Times New Roman" w:eastAsia="宋体" w:cs="宋体"/>
                <w:kern w:val="0"/>
                <w:szCs w:val="24"/>
                <w:u w:val="single"/>
              </w:rPr>
              <w:t>四</w:t>
            </w:r>
            <w:r>
              <w:rPr>
                <w:rFonts w:ascii="宋体" w:hAnsi="Times New Roman" w:eastAsia="宋体" w:cs="宋体"/>
                <w:kern w:val="0"/>
                <w:szCs w:val="24"/>
                <w:u w:val="single"/>
              </w:rPr>
              <w:t>_</w:t>
            </w:r>
            <w:r>
              <w:rPr>
                <w:rFonts w:ascii="宋体" w:hAnsi="Times New Roman" w:eastAsia="宋体" w:cs="宋体"/>
                <w:kern w:val="0"/>
                <w:szCs w:val="24"/>
              </w:rPr>
              <w:t>副本</w:t>
            </w:r>
            <w:r>
              <w:rPr>
                <w:rFonts w:hint="eastAsia" w:ascii="宋体" w:hAnsi="Times New Roman" w:eastAsia="宋体" w:cs="宋体"/>
                <w:kern w:val="0"/>
                <w:szCs w:val="24"/>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14</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投标文件电子版</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电子光盘一张或U盘一个（WORD及投标文件正本盖章后的彩色扫描件，PDF格式）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15</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财政预算金额</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人民币 肆拾陆万零贰佰元整</w:t>
            </w:r>
            <w:r>
              <w:rPr>
                <w:rFonts w:ascii="宋体" w:hAnsi="Times New Roman" w:eastAsia="宋体" w:cs="宋体"/>
                <w:kern w:val="0"/>
                <w:szCs w:val="24"/>
              </w:rPr>
              <w:t>（</w:t>
            </w:r>
            <w:r>
              <w:rPr>
                <w:rFonts w:hint="eastAsia" w:ascii="宋体" w:hAnsi="Times New Roman" w:eastAsia="宋体" w:cs="宋体"/>
                <w:kern w:val="0"/>
                <w:szCs w:val="24"/>
              </w:rPr>
              <w:t>¥460200.00</w:t>
            </w:r>
            <w:r>
              <w:rPr>
                <w:rFonts w:ascii="宋体" w:hAnsi="Times New Roman" w:eastAsia="宋体" w:cs="宋体"/>
                <w:kern w:val="0"/>
                <w:szCs w:val="24"/>
              </w:rPr>
              <w:t>）</w:t>
            </w:r>
            <w:r>
              <w:rPr>
                <w:rFonts w:hint="eastAsia" w:ascii="宋体" w:hAnsi="Times New Roman" w:eastAsia="宋体" w:cs="宋体"/>
                <w:kern w:val="0"/>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pPr>
              <w:widowControl/>
              <w:shd w:val="clear" w:color="auto" w:fill="FFFFFF"/>
              <w:spacing w:line="320" w:lineRule="exact"/>
              <w:jc w:val="center"/>
              <w:rPr>
                <w:rFonts w:ascii="宋体" w:hAnsi="Times New Roman" w:eastAsia="宋体" w:cs="宋体"/>
                <w:kern w:val="0"/>
                <w:szCs w:val="24"/>
              </w:rPr>
            </w:pPr>
            <w:r>
              <w:rPr>
                <w:rFonts w:hint="eastAsia" w:ascii="宋体" w:hAnsi="Times New Roman" w:eastAsia="宋体" w:cs="宋体"/>
                <w:kern w:val="0"/>
                <w:szCs w:val="24"/>
              </w:rPr>
              <w:t>16</w:t>
            </w:r>
          </w:p>
        </w:tc>
        <w:tc>
          <w:tcPr>
            <w:tcW w:w="1889"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财政预算限额</w:t>
            </w:r>
          </w:p>
        </w:tc>
        <w:tc>
          <w:tcPr>
            <w:tcW w:w="6931" w:type="dxa"/>
            <w:vAlign w:val="center"/>
          </w:tcPr>
          <w:p>
            <w:pPr>
              <w:widowControl/>
              <w:shd w:val="clear" w:color="auto" w:fill="FFFFFF"/>
              <w:spacing w:line="320" w:lineRule="exact"/>
              <w:rPr>
                <w:rFonts w:ascii="宋体" w:hAnsi="Times New Roman" w:eastAsia="宋体" w:cs="宋体"/>
                <w:kern w:val="0"/>
                <w:szCs w:val="24"/>
              </w:rPr>
            </w:pPr>
            <w:r>
              <w:rPr>
                <w:rFonts w:hint="eastAsia" w:ascii="宋体" w:hAnsi="Times New Roman" w:eastAsia="宋体" w:cs="宋体"/>
                <w:kern w:val="0"/>
                <w:szCs w:val="24"/>
              </w:rPr>
              <w:t>人民币 肆拾陆万零贰佰元整</w:t>
            </w:r>
            <w:r>
              <w:rPr>
                <w:rFonts w:ascii="宋体" w:hAnsi="Times New Roman" w:eastAsia="宋体" w:cs="宋体"/>
                <w:kern w:val="0"/>
                <w:szCs w:val="24"/>
              </w:rPr>
              <w:t>（</w:t>
            </w:r>
            <w:r>
              <w:rPr>
                <w:rFonts w:hint="eastAsia" w:ascii="宋体" w:hAnsi="Times New Roman" w:eastAsia="宋体" w:cs="宋体"/>
                <w:kern w:val="0"/>
                <w:szCs w:val="24"/>
              </w:rPr>
              <w:t>¥460200.00</w:t>
            </w:r>
            <w:r>
              <w:rPr>
                <w:rFonts w:ascii="宋体" w:hAnsi="Times New Roman" w:eastAsia="宋体" w:cs="宋体"/>
                <w:kern w:val="0"/>
                <w:szCs w:val="24"/>
              </w:rPr>
              <w:t>）</w:t>
            </w:r>
            <w:r>
              <w:rPr>
                <w:rFonts w:hint="eastAsia" w:ascii="宋体" w:hAnsi="Times New Roman" w:eastAsia="宋体" w:cs="宋体"/>
                <w:kern w:val="0"/>
                <w:szCs w:val="24"/>
              </w:rPr>
              <w:t>；超出财政预算限额的投标文件则投标无效。</w:t>
            </w:r>
          </w:p>
        </w:tc>
      </w:tr>
    </w:tbl>
    <w:p>
      <w:pPr>
        <w:widowControl/>
        <w:shd w:val="clear" w:color="auto" w:fill="FFFFFF"/>
        <w:tabs>
          <w:tab w:val="left" w:pos="3445"/>
        </w:tabs>
        <w:adjustRightInd w:val="0"/>
        <w:snapToGrid w:val="0"/>
        <w:spacing w:before="240" w:after="60" w:line="312" w:lineRule="auto"/>
        <w:ind w:firstLine="562"/>
        <w:jc w:val="center"/>
        <w:outlineLvl w:val="1"/>
        <w:rPr>
          <w:rFonts w:ascii="Cambria" w:hAnsi="Cambria" w:eastAsia="宋体" w:cs="Times New Roman"/>
          <w:b/>
          <w:bCs/>
          <w:kern w:val="28"/>
          <w:sz w:val="28"/>
          <w:szCs w:val="32"/>
        </w:rPr>
      </w:pPr>
      <w:r>
        <w:rPr>
          <w:rFonts w:ascii="Cambria" w:hAnsi="Cambria" w:eastAsia="宋体" w:cs="Times New Roman"/>
          <w:b/>
          <w:bCs/>
          <w:kern w:val="28"/>
          <w:sz w:val="28"/>
          <w:szCs w:val="32"/>
        </w:rPr>
        <w:br w:type="page"/>
      </w:r>
      <w:bookmarkStart w:id="60" w:name="_Toc167352553"/>
      <w:bookmarkStart w:id="61" w:name="_Toc398220525"/>
      <w:bookmarkStart w:id="62" w:name="_Toc432592816"/>
      <w:r>
        <w:rPr>
          <w:rFonts w:hint="eastAsia" w:ascii="Cambria" w:hAnsi="Cambria" w:eastAsia="宋体" w:cs="Times New Roman"/>
          <w:b/>
          <w:bCs/>
          <w:kern w:val="28"/>
          <w:sz w:val="28"/>
          <w:szCs w:val="32"/>
        </w:rPr>
        <w:t xml:space="preserve">第三章 </w:t>
      </w:r>
      <w:r>
        <w:rPr>
          <w:rFonts w:ascii="Cambria" w:hAnsi="Cambria" w:eastAsia="宋体" w:cs="Times New Roman"/>
          <w:b/>
          <w:bCs/>
          <w:kern w:val="28"/>
          <w:sz w:val="28"/>
          <w:szCs w:val="32"/>
        </w:rPr>
        <w:t>项目</w:t>
      </w:r>
      <w:r>
        <w:rPr>
          <w:rFonts w:hint="eastAsia" w:ascii="Cambria" w:hAnsi="Cambria" w:eastAsia="宋体" w:cs="Times New Roman"/>
          <w:b/>
          <w:bCs/>
          <w:kern w:val="28"/>
          <w:sz w:val="28"/>
          <w:szCs w:val="32"/>
        </w:rPr>
        <w:t>需求</w:t>
      </w:r>
      <w:bookmarkEnd w:id="60"/>
    </w:p>
    <w:p>
      <w:pPr>
        <w:keepNext/>
        <w:keepLines/>
        <w:spacing w:before="260" w:after="260" w:line="360" w:lineRule="auto"/>
        <w:ind w:firstLine="482"/>
        <w:outlineLvl w:val="2"/>
        <w:rPr>
          <w:rFonts w:ascii="宋体" w:hAnsi="Times New Roman" w:eastAsia="宋体" w:cs="Times New Roman"/>
          <w:b/>
          <w:sz w:val="24"/>
          <w:szCs w:val="24"/>
        </w:rPr>
      </w:pPr>
      <w:bookmarkStart w:id="63" w:name="_Toc150794058"/>
      <w:bookmarkStart w:id="64" w:name="_Toc167352554"/>
      <w:r>
        <w:rPr>
          <w:rFonts w:hint="eastAsia" w:ascii="宋体" w:hAnsi="Times New Roman" w:eastAsia="宋体" w:cs="Times New Roman"/>
          <w:b/>
          <w:sz w:val="24"/>
          <w:szCs w:val="24"/>
        </w:rPr>
        <w:t>一、服务清单</w:t>
      </w:r>
      <w:bookmarkEnd w:id="63"/>
      <w:bookmarkEnd w:id="64"/>
    </w:p>
    <w:tbl>
      <w:tblPr>
        <w:tblStyle w:val="8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2698"/>
        <w:gridCol w:w="940"/>
        <w:gridCol w:w="940"/>
        <w:gridCol w:w="941"/>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3" w:type="dxa"/>
            <w:vAlign w:val="center"/>
          </w:tcPr>
          <w:p>
            <w:pPr>
              <w:jc w:val="center"/>
              <w:rPr>
                <w:rFonts w:cs="Times New Roman"/>
                <w:b/>
                <w:bCs/>
                <w:szCs w:val="21"/>
              </w:rPr>
            </w:pPr>
            <w:r>
              <w:rPr>
                <w:rFonts w:hint="eastAsia" w:cs="Times New Roman"/>
                <w:b/>
                <w:bCs/>
                <w:szCs w:val="21"/>
              </w:rPr>
              <w:t>项目名称</w:t>
            </w:r>
          </w:p>
        </w:tc>
        <w:tc>
          <w:tcPr>
            <w:tcW w:w="2698" w:type="dxa"/>
            <w:vAlign w:val="center"/>
          </w:tcPr>
          <w:p>
            <w:pPr>
              <w:jc w:val="center"/>
              <w:rPr>
                <w:rFonts w:cs="Times New Roman"/>
                <w:b/>
                <w:bCs/>
                <w:szCs w:val="21"/>
              </w:rPr>
            </w:pPr>
            <w:r>
              <w:rPr>
                <w:rFonts w:hint="eastAsia" w:cs="Times New Roman"/>
                <w:b/>
                <w:bCs/>
                <w:szCs w:val="21"/>
              </w:rPr>
              <w:t>采购人</w:t>
            </w:r>
          </w:p>
        </w:tc>
        <w:tc>
          <w:tcPr>
            <w:tcW w:w="940" w:type="dxa"/>
            <w:vAlign w:val="center"/>
          </w:tcPr>
          <w:p>
            <w:pPr>
              <w:jc w:val="center"/>
              <w:rPr>
                <w:rFonts w:cs="Times New Roman"/>
                <w:b/>
                <w:bCs/>
                <w:szCs w:val="21"/>
              </w:rPr>
            </w:pPr>
            <w:r>
              <w:rPr>
                <w:rFonts w:hint="eastAsia" w:cs="Times New Roman"/>
                <w:b/>
                <w:bCs/>
                <w:szCs w:val="21"/>
              </w:rPr>
              <w:t>单位</w:t>
            </w:r>
          </w:p>
        </w:tc>
        <w:tc>
          <w:tcPr>
            <w:tcW w:w="940" w:type="dxa"/>
            <w:vAlign w:val="center"/>
          </w:tcPr>
          <w:p>
            <w:pPr>
              <w:jc w:val="center"/>
              <w:rPr>
                <w:rFonts w:cs="Times New Roman"/>
                <w:b/>
                <w:bCs/>
                <w:szCs w:val="21"/>
              </w:rPr>
            </w:pPr>
            <w:r>
              <w:rPr>
                <w:rFonts w:hint="eastAsia" w:cs="Times New Roman"/>
                <w:b/>
                <w:bCs/>
                <w:szCs w:val="21"/>
              </w:rPr>
              <w:t>数量</w:t>
            </w:r>
          </w:p>
        </w:tc>
        <w:tc>
          <w:tcPr>
            <w:tcW w:w="941" w:type="dxa"/>
            <w:vAlign w:val="center"/>
          </w:tcPr>
          <w:p>
            <w:pPr>
              <w:jc w:val="center"/>
              <w:rPr>
                <w:rFonts w:cs="Times New Roman"/>
                <w:b/>
                <w:bCs/>
                <w:szCs w:val="21"/>
              </w:rPr>
            </w:pPr>
            <w:r>
              <w:rPr>
                <w:rFonts w:cs="Times New Roman"/>
                <w:b/>
                <w:bCs/>
                <w:szCs w:val="21"/>
              </w:rPr>
              <w:t>备注</w:t>
            </w:r>
          </w:p>
        </w:tc>
        <w:tc>
          <w:tcPr>
            <w:tcW w:w="2524" w:type="dxa"/>
            <w:vAlign w:val="center"/>
          </w:tcPr>
          <w:p>
            <w:pPr>
              <w:jc w:val="center"/>
              <w:rPr>
                <w:rFonts w:cs="Times New Roman"/>
                <w:b/>
                <w:bCs/>
                <w:szCs w:val="21"/>
              </w:rPr>
            </w:pPr>
            <w:r>
              <w:rPr>
                <w:rFonts w:cs="Times New Roman"/>
                <w:b/>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33" w:type="dxa"/>
            <w:vMerge w:val="restart"/>
            <w:vAlign w:val="center"/>
          </w:tcPr>
          <w:p>
            <w:pPr>
              <w:jc w:val="center"/>
              <w:rPr>
                <w:bCs/>
                <w:szCs w:val="21"/>
              </w:rPr>
            </w:pPr>
            <w:r>
              <w:rPr>
                <w:rFonts w:hint="eastAsia"/>
              </w:rPr>
              <w:t>2025-2026年度电梯维保服务</w:t>
            </w:r>
          </w:p>
        </w:tc>
        <w:tc>
          <w:tcPr>
            <w:tcW w:w="2698" w:type="dxa"/>
            <w:vAlign w:val="center"/>
          </w:tcPr>
          <w:p>
            <w:pPr>
              <w:jc w:val="center"/>
              <w:rPr>
                <w:bCs/>
                <w:szCs w:val="21"/>
              </w:rPr>
            </w:pPr>
            <w:r>
              <w:rPr>
                <w:rFonts w:hint="eastAsia"/>
                <w:bCs/>
                <w:szCs w:val="21"/>
              </w:rPr>
              <w:t>深圳海关后勤管理中心</w:t>
            </w:r>
          </w:p>
        </w:tc>
        <w:tc>
          <w:tcPr>
            <w:tcW w:w="940" w:type="dxa"/>
            <w:vAlign w:val="center"/>
          </w:tcPr>
          <w:p>
            <w:pPr>
              <w:jc w:val="center"/>
              <w:rPr>
                <w:bCs/>
                <w:szCs w:val="21"/>
              </w:rPr>
            </w:pPr>
            <w:r>
              <w:rPr>
                <w:rFonts w:hint="eastAsia"/>
                <w:bCs/>
                <w:szCs w:val="21"/>
              </w:rPr>
              <w:t>项</w:t>
            </w:r>
          </w:p>
        </w:tc>
        <w:tc>
          <w:tcPr>
            <w:tcW w:w="940" w:type="dxa"/>
            <w:vAlign w:val="center"/>
          </w:tcPr>
          <w:p>
            <w:pPr>
              <w:jc w:val="center"/>
              <w:rPr>
                <w:bCs/>
                <w:szCs w:val="21"/>
              </w:rPr>
            </w:pPr>
            <w:r>
              <w:rPr>
                <w:rFonts w:hint="eastAsia"/>
                <w:bCs/>
                <w:szCs w:val="21"/>
              </w:rPr>
              <w:t>1</w:t>
            </w:r>
          </w:p>
        </w:tc>
        <w:tc>
          <w:tcPr>
            <w:tcW w:w="941" w:type="dxa"/>
            <w:vAlign w:val="center"/>
          </w:tcPr>
          <w:p>
            <w:pPr>
              <w:jc w:val="center"/>
              <w:rPr>
                <w:bCs/>
                <w:szCs w:val="21"/>
              </w:rPr>
            </w:pPr>
            <w:r>
              <w:rPr>
                <w:rFonts w:hint="eastAsia"/>
                <w:bCs/>
                <w:szCs w:val="21"/>
              </w:rPr>
              <w:t>无</w:t>
            </w:r>
          </w:p>
        </w:tc>
        <w:tc>
          <w:tcPr>
            <w:tcW w:w="2524" w:type="dxa"/>
            <w:vAlign w:val="center"/>
          </w:tcPr>
          <w:p>
            <w:pPr>
              <w:jc w:val="center"/>
              <w:rPr>
                <w:rFonts w:cs="Times New Roman"/>
                <w:szCs w:val="21"/>
              </w:rPr>
            </w:pPr>
            <w:r>
              <w:rPr>
                <w:rFonts w:hint="eastAsia" w:cs="Times New Roman"/>
                <w:szCs w:val="21"/>
              </w:rPr>
              <w:t>191400.00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33" w:type="dxa"/>
            <w:vMerge w:val="continue"/>
            <w:vAlign w:val="center"/>
          </w:tcPr>
          <w:p>
            <w:pPr>
              <w:jc w:val="center"/>
            </w:pPr>
          </w:p>
        </w:tc>
        <w:tc>
          <w:tcPr>
            <w:tcW w:w="2698" w:type="dxa"/>
            <w:vAlign w:val="center"/>
          </w:tcPr>
          <w:p>
            <w:pPr>
              <w:jc w:val="center"/>
            </w:pPr>
            <w:r>
              <w:rPr>
                <w:rFonts w:hint="eastAsia"/>
              </w:rPr>
              <w:t>深圳市深海悦物业管理服务有限公司</w:t>
            </w:r>
          </w:p>
        </w:tc>
        <w:tc>
          <w:tcPr>
            <w:tcW w:w="940" w:type="dxa"/>
            <w:vAlign w:val="center"/>
          </w:tcPr>
          <w:p>
            <w:pPr>
              <w:jc w:val="center"/>
              <w:rPr>
                <w:bCs/>
                <w:szCs w:val="21"/>
              </w:rPr>
            </w:pPr>
            <w:r>
              <w:rPr>
                <w:rFonts w:hint="eastAsia"/>
                <w:bCs/>
                <w:szCs w:val="21"/>
              </w:rPr>
              <w:t>项</w:t>
            </w:r>
          </w:p>
        </w:tc>
        <w:tc>
          <w:tcPr>
            <w:tcW w:w="940" w:type="dxa"/>
            <w:vAlign w:val="center"/>
          </w:tcPr>
          <w:p>
            <w:pPr>
              <w:jc w:val="center"/>
              <w:rPr>
                <w:bCs/>
                <w:szCs w:val="21"/>
              </w:rPr>
            </w:pPr>
            <w:r>
              <w:rPr>
                <w:rFonts w:hint="eastAsia"/>
                <w:bCs/>
                <w:szCs w:val="21"/>
              </w:rPr>
              <w:t>1</w:t>
            </w:r>
          </w:p>
        </w:tc>
        <w:tc>
          <w:tcPr>
            <w:tcW w:w="941" w:type="dxa"/>
            <w:vAlign w:val="center"/>
          </w:tcPr>
          <w:p>
            <w:pPr>
              <w:jc w:val="center"/>
              <w:rPr>
                <w:bCs/>
                <w:szCs w:val="21"/>
              </w:rPr>
            </w:pPr>
            <w:r>
              <w:rPr>
                <w:rFonts w:hint="eastAsia"/>
                <w:bCs/>
                <w:szCs w:val="21"/>
              </w:rPr>
              <w:t>无</w:t>
            </w:r>
          </w:p>
        </w:tc>
        <w:tc>
          <w:tcPr>
            <w:tcW w:w="2524" w:type="dxa"/>
            <w:vAlign w:val="center"/>
          </w:tcPr>
          <w:p>
            <w:pPr>
              <w:jc w:val="center"/>
              <w:rPr>
                <w:rFonts w:cs="Times New Roman"/>
                <w:szCs w:val="21"/>
              </w:rPr>
            </w:pPr>
            <w:r>
              <w:rPr>
                <w:rFonts w:hint="eastAsia" w:cs="Times New Roman"/>
                <w:szCs w:val="21"/>
              </w:rPr>
              <w:t>16800.00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33" w:type="dxa"/>
            <w:vMerge w:val="continue"/>
            <w:vAlign w:val="center"/>
          </w:tcPr>
          <w:p>
            <w:pPr>
              <w:jc w:val="center"/>
            </w:pPr>
          </w:p>
        </w:tc>
        <w:tc>
          <w:tcPr>
            <w:tcW w:w="2698" w:type="dxa"/>
            <w:vAlign w:val="center"/>
          </w:tcPr>
          <w:p>
            <w:pPr>
              <w:jc w:val="center"/>
            </w:pPr>
            <w:r>
              <w:rPr>
                <w:rFonts w:hint="eastAsia"/>
              </w:rPr>
              <w:t>深圳市鹏检物业管理有限公司</w:t>
            </w:r>
          </w:p>
        </w:tc>
        <w:tc>
          <w:tcPr>
            <w:tcW w:w="940" w:type="dxa"/>
            <w:vAlign w:val="center"/>
          </w:tcPr>
          <w:p>
            <w:pPr>
              <w:jc w:val="center"/>
              <w:rPr>
                <w:bCs/>
                <w:szCs w:val="21"/>
              </w:rPr>
            </w:pPr>
            <w:r>
              <w:rPr>
                <w:rFonts w:hint="eastAsia"/>
                <w:bCs/>
                <w:szCs w:val="21"/>
              </w:rPr>
              <w:t>项</w:t>
            </w:r>
          </w:p>
        </w:tc>
        <w:tc>
          <w:tcPr>
            <w:tcW w:w="940" w:type="dxa"/>
            <w:vAlign w:val="center"/>
          </w:tcPr>
          <w:p>
            <w:pPr>
              <w:jc w:val="center"/>
              <w:rPr>
                <w:bCs/>
                <w:szCs w:val="21"/>
              </w:rPr>
            </w:pPr>
            <w:r>
              <w:rPr>
                <w:rFonts w:hint="eastAsia"/>
                <w:bCs/>
                <w:szCs w:val="21"/>
              </w:rPr>
              <w:t>1</w:t>
            </w:r>
          </w:p>
        </w:tc>
        <w:tc>
          <w:tcPr>
            <w:tcW w:w="941" w:type="dxa"/>
            <w:vAlign w:val="center"/>
          </w:tcPr>
          <w:p>
            <w:pPr>
              <w:jc w:val="center"/>
              <w:rPr>
                <w:bCs/>
                <w:szCs w:val="21"/>
              </w:rPr>
            </w:pPr>
            <w:r>
              <w:rPr>
                <w:rFonts w:hint="eastAsia"/>
                <w:bCs/>
                <w:szCs w:val="21"/>
              </w:rPr>
              <w:t>无</w:t>
            </w:r>
          </w:p>
        </w:tc>
        <w:tc>
          <w:tcPr>
            <w:tcW w:w="2524" w:type="dxa"/>
            <w:vAlign w:val="center"/>
          </w:tcPr>
          <w:p>
            <w:pPr>
              <w:jc w:val="center"/>
              <w:rPr>
                <w:rFonts w:cs="Times New Roman"/>
                <w:szCs w:val="21"/>
              </w:rPr>
            </w:pPr>
            <w:r>
              <w:rPr>
                <w:rFonts w:hint="eastAsia" w:cs="Times New Roman"/>
                <w:szCs w:val="21"/>
              </w:rPr>
              <w:t>252000.00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52" w:type="dxa"/>
            <w:gridSpan w:val="5"/>
            <w:vAlign w:val="center"/>
          </w:tcPr>
          <w:p>
            <w:pPr>
              <w:jc w:val="center"/>
              <w:rPr>
                <w:bCs/>
                <w:szCs w:val="21"/>
              </w:rPr>
            </w:pPr>
            <w:r>
              <w:rPr>
                <w:rFonts w:hint="eastAsia"/>
              </w:rPr>
              <w:t>合计</w:t>
            </w:r>
          </w:p>
        </w:tc>
        <w:tc>
          <w:tcPr>
            <w:tcW w:w="2524" w:type="dxa"/>
            <w:vAlign w:val="center"/>
          </w:tcPr>
          <w:p>
            <w:pPr>
              <w:jc w:val="center"/>
              <w:rPr>
                <w:rFonts w:cs="Times New Roman"/>
                <w:szCs w:val="21"/>
              </w:rPr>
            </w:pPr>
            <w:r>
              <w:rPr>
                <w:rFonts w:hint="eastAsia" w:cs="Times New Roman"/>
                <w:szCs w:val="21"/>
              </w:rPr>
              <w:t>460200.00</w:t>
            </w:r>
          </w:p>
        </w:tc>
      </w:tr>
    </w:tbl>
    <w:p/>
    <w:p>
      <w:pPr>
        <w:keepNext/>
        <w:keepLines/>
        <w:spacing w:before="260" w:after="260" w:line="360" w:lineRule="auto"/>
        <w:ind w:firstLine="482"/>
        <w:outlineLvl w:val="2"/>
        <w:rPr>
          <w:rFonts w:ascii="宋体" w:hAnsi="Times New Roman" w:eastAsia="宋体" w:cs="Times New Roman"/>
          <w:b/>
          <w:sz w:val="24"/>
          <w:szCs w:val="24"/>
        </w:rPr>
      </w:pPr>
      <w:bookmarkStart w:id="65" w:name="_Toc150794059"/>
      <w:bookmarkStart w:id="66" w:name="_Toc167352555"/>
      <w:bookmarkStart w:id="67" w:name="_Toc528675169"/>
      <w:bookmarkStart w:id="68" w:name="_Toc528170797"/>
      <w:bookmarkStart w:id="69" w:name="_Toc518464359"/>
      <w:r>
        <w:rPr>
          <w:rFonts w:ascii="宋体" w:hAnsi="Times New Roman" w:eastAsia="宋体" w:cs="Times New Roman"/>
          <w:b/>
          <w:sz w:val="24"/>
          <w:szCs w:val="24"/>
        </w:rPr>
        <w:t>二</w:t>
      </w:r>
      <w:r>
        <w:rPr>
          <w:rFonts w:hint="eastAsia" w:ascii="宋体" w:hAnsi="Times New Roman" w:eastAsia="宋体" w:cs="Times New Roman"/>
          <w:b/>
          <w:sz w:val="24"/>
          <w:szCs w:val="24"/>
        </w:rPr>
        <w:t>、实质性响应条款</w:t>
      </w:r>
      <w:bookmarkEnd w:id="65"/>
      <w:bookmarkEnd w:id="66"/>
    </w:p>
    <w:bookmarkEnd w:id="67"/>
    <w:bookmarkEnd w:id="68"/>
    <w:bookmarkEnd w:id="69"/>
    <w:tbl>
      <w:tblPr>
        <w:tblStyle w:val="86"/>
        <w:tblW w:w="5034"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241"/>
        <w:gridCol w:w="7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vAlign w:val="center"/>
          </w:tcPr>
          <w:p>
            <w:pPr>
              <w:adjustRightInd w:val="0"/>
              <w:snapToGrid w:val="0"/>
              <w:jc w:val="center"/>
              <w:rPr>
                <w:rFonts w:ascii="宋体" w:hAnsi="Times New Roman" w:eastAsia="宋体" w:cs="Times New Roman"/>
                <w:kern w:val="0"/>
                <w:szCs w:val="21"/>
              </w:rPr>
            </w:pPr>
            <w:bookmarkStart w:id="70" w:name="_Toc530152519"/>
            <w:r>
              <w:rPr>
                <w:rFonts w:hint="eastAsia" w:ascii="宋体" w:hAnsi="Times New Roman" w:eastAsia="宋体" w:cs="Times New Roman"/>
                <w:kern w:val="0"/>
                <w:szCs w:val="21"/>
              </w:rPr>
              <w:t>序号</w:t>
            </w:r>
          </w:p>
        </w:tc>
        <w:tc>
          <w:tcPr>
            <w:tcW w:w="2241" w:type="dxa"/>
            <w:vAlign w:val="center"/>
          </w:tcPr>
          <w:p>
            <w:pPr>
              <w:adjustRightInd w:val="0"/>
              <w:snapToGrid w:val="0"/>
              <w:jc w:val="center"/>
              <w:rPr>
                <w:rFonts w:ascii="宋体" w:hAnsi="Times New Roman" w:eastAsia="宋体" w:cs="Times New Roman"/>
                <w:kern w:val="0"/>
                <w:szCs w:val="21"/>
              </w:rPr>
            </w:pPr>
            <w:r>
              <w:rPr>
                <w:rFonts w:hint="eastAsia" w:ascii="宋体" w:hAnsi="Times New Roman" w:eastAsia="宋体" w:cs="Times New Roman"/>
                <w:kern w:val="0"/>
                <w:szCs w:val="21"/>
              </w:rPr>
              <w:t>目录</w:t>
            </w:r>
          </w:p>
        </w:tc>
        <w:tc>
          <w:tcPr>
            <w:tcW w:w="7162" w:type="dxa"/>
            <w:vAlign w:val="center"/>
          </w:tcPr>
          <w:p>
            <w:pPr>
              <w:shd w:val="clear" w:color="auto" w:fill="FFFFFF"/>
              <w:tabs>
                <w:tab w:val="left" w:pos="426"/>
              </w:tabs>
              <w:adjustRightInd w:val="0"/>
              <w:snapToGrid w:val="0"/>
              <w:jc w:val="center"/>
              <w:rPr>
                <w:rFonts w:ascii="宋体" w:hAnsi="Times New Roman" w:eastAsia="宋体" w:cs="Times New Roman"/>
                <w:kern w:val="0"/>
                <w:szCs w:val="21"/>
              </w:rPr>
            </w:pPr>
            <w:r>
              <w:rPr>
                <w:rFonts w:hint="eastAsia" w:ascii="宋体" w:hAnsi="Times New Roman" w:eastAsia="宋体" w:cs="Times New Roman"/>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vAlign w:val="center"/>
          </w:tcPr>
          <w:p>
            <w:pPr>
              <w:adjustRightInd w:val="0"/>
              <w:snapToGrid w:val="0"/>
              <w:jc w:val="center"/>
              <w:rPr>
                <w:rFonts w:ascii="宋体" w:hAnsi="Times New Roman" w:eastAsia="宋体" w:cs="Times New Roman"/>
                <w:kern w:val="0"/>
                <w:szCs w:val="21"/>
              </w:rPr>
            </w:pPr>
            <w:r>
              <w:rPr>
                <w:rFonts w:hint="eastAsia" w:ascii="宋体" w:hAnsi="Times New Roman" w:eastAsia="宋体" w:cs="Times New Roman"/>
                <w:kern w:val="0"/>
                <w:szCs w:val="21"/>
              </w:rPr>
              <w:t>1</w:t>
            </w:r>
          </w:p>
        </w:tc>
        <w:tc>
          <w:tcPr>
            <w:tcW w:w="2241" w:type="dxa"/>
            <w:vAlign w:val="center"/>
          </w:tcPr>
          <w:p>
            <w:pPr>
              <w:adjustRightInd w:val="0"/>
              <w:snapToGrid w:val="0"/>
              <w:rPr>
                <w:rFonts w:ascii="Times New Roman" w:hAnsi="Times New Roman" w:eastAsia="宋体" w:cs="Times New Roman"/>
                <w:kern w:val="0"/>
                <w:szCs w:val="21"/>
              </w:rPr>
            </w:pPr>
            <w:r>
              <w:rPr>
                <w:rFonts w:hint="eastAsia" w:ascii="宋体" w:hAnsi="Times New Roman" w:eastAsia="宋体" w:cs="宋体"/>
                <w:kern w:val="0"/>
                <w:szCs w:val="21"/>
              </w:rPr>
              <w:t>资格、符合性评审条款</w:t>
            </w:r>
          </w:p>
        </w:tc>
        <w:tc>
          <w:tcPr>
            <w:tcW w:w="7162" w:type="dxa"/>
            <w:vAlign w:val="center"/>
          </w:tcPr>
          <w:p>
            <w:pPr>
              <w:adjustRightInd w:val="0"/>
              <w:snapToGrid w:val="0"/>
              <w:ind w:firstLine="420" w:firstLineChars="200"/>
              <w:rPr>
                <w:rFonts w:ascii="Times New Roman" w:hAnsi="Times New Roman" w:eastAsia="宋体" w:cs="Times New Roman"/>
                <w:kern w:val="0"/>
                <w:szCs w:val="21"/>
              </w:rPr>
            </w:pPr>
            <w:r>
              <w:rPr>
                <w:rFonts w:hint="eastAsia" w:ascii="宋体" w:hAnsi="Times New Roman" w:eastAsia="宋体" w:cs="宋体"/>
                <w:kern w:val="0"/>
                <w:szCs w:val="21"/>
              </w:rPr>
              <w:t>凡出现《资格性审查表》及《符合性审查表》中情形之一的，将导致投标无效。以评审现场结论为准。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vAlign w:val="center"/>
          </w:tcPr>
          <w:p>
            <w:pPr>
              <w:adjustRightInd w:val="0"/>
              <w:snapToGrid w:val="0"/>
              <w:jc w:val="center"/>
              <w:rPr>
                <w:rFonts w:ascii="宋体" w:hAnsi="Times New Roman" w:eastAsia="宋体" w:cs="Times New Roman"/>
                <w:kern w:val="0"/>
                <w:szCs w:val="21"/>
              </w:rPr>
            </w:pPr>
            <w:r>
              <w:rPr>
                <w:rFonts w:hint="eastAsia" w:ascii="宋体" w:hAnsi="Times New Roman" w:eastAsia="宋体" w:cs="Times New Roman"/>
                <w:kern w:val="0"/>
                <w:szCs w:val="21"/>
              </w:rPr>
              <w:t>2</w:t>
            </w:r>
          </w:p>
        </w:tc>
        <w:tc>
          <w:tcPr>
            <w:tcW w:w="2241" w:type="dxa"/>
            <w:vAlign w:val="center"/>
          </w:tcPr>
          <w:p>
            <w:pPr>
              <w:adjustRightInd w:val="0"/>
              <w:snapToGrid w:val="0"/>
              <w:rPr>
                <w:rFonts w:ascii="宋体" w:hAnsi="Times New Roman" w:eastAsia="宋体" w:cs="宋体"/>
                <w:kern w:val="0"/>
                <w:szCs w:val="21"/>
              </w:rPr>
            </w:pPr>
            <w:r>
              <w:rPr>
                <w:rFonts w:hint="eastAsia" w:ascii="宋体" w:hAnsi="Times New Roman" w:eastAsia="宋体" w:cs="宋体"/>
                <w:kern w:val="0"/>
                <w:szCs w:val="21"/>
              </w:rPr>
              <w:t>技术要求</w:t>
            </w:r>
          </w:p>
        </w:tc>
        <w:tc>
          <w:tcPr>
            <w:tcW w:w="7162" w:type="dxa"/>
            <w:vAlign w:val="center"/>
          </w:tcPr>
          <w:p>
            <w:pPr>
              <w:adjustRightInd w:val="0"/>
              <w:snapToGrid w:val="0"/>
              <w:ind w:firstLine="420" w:firstLineChars="200"/>
              <w:rPr>
                <w:rFonts w:ascii="宋体" w:hAnsi="Times New Roman" w:eastAsia="宋体" w:cs="宋体"/>
                <w:kern w:val="0"/>
                <w:szCs w:val="24"/>
              </w:rPr>
            </w:pPr>
            <w:r>
              <w:rPr>
                <w:rFonts w:hint="eastAsia" w:ascii="宋体" w:hAnsi="Times New Roman" w:eastAsia="宋体" w:cs="宋体"/>
                <w:kern w:val="0"/>
                <w:szCs w:val="24"/>
              </w:rPr>
              <w:t>以“★”标注的内容，若出现不响应或任何的负偏离，将导致投标无效。以《实质性条款响应情况表》为准。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vAlign w:val="center"/>
          </w:tcPr>
          <w:p>
            <w:pPr>
              <w:adjustRightInd w:val="0"/>
              <w:snapToGrid w:val="0"/>
              <w:jc w:val="center"/>
              <w:rPr>
                <w:rFonts w:ascii="宋体" w:hAnsi="Times New Roman" w:eastAsia="宋体" w:cs="Times New Roman"/>
                <w:kern w:val="0"/>
                <w:szCs w:val="21"/>
              </w:rPr>
            </w:pPr>
            <w:r>
              <w:rPr>
                <w:rFonts w:hint="eastAsia" w:ascii="宋体" w:hAnsi="Times New Roman" w:eastAsia="宋体" w:cs="Times New Roman"/>
                <w:kern w:val="0"/>
                <w:szCs w:val="21"/>
              </w:rPr>
              <w:t>3</w:t>
            </w:r>
          </w:p>
        </w:tc>
        <w:tc>
          <w:tcPr>
            <w:tcW w:w="2241" w:type="dxa"/>
            <w:vAlign w:val="center"/>
          </w:tcPr>
          <w:p>
            <w:pPr>
              <w:adjustRightInd w:val="0"/>
              <w:snapToGrid w:val="0"/>
              <w:rPr>
                <w:rFonts w:ascii="宋体" w:hAnsi="Times New Roman" w:eastAsia="宋体" w:cs="宋体"/>
                <w:kern w:val="0"/>
                <w:szCs w:val="21"/>
              </w:rPr>
            </w:pPr>
            <w:r>
              <w:rPr>
                <w:rFonts w:hint="eastAsia" w:ascii="宋体" w:hAnsi="Times New Roman" w:eastAsia="宋体" w:cs="宋体"/>
                <w:kern w:val="0"/>
                <w:szCs w:val="21"/>
              </w:rPr>
              <w:t>商务要求</w:t>
            </w:r>
          </w:p>
        </w:tc>
        <w:tc>
          <w:tcPr>
            <w:tcW w:w="7162" w:type="dxa"/>
            <w:vAlign w:val="center"/>
          </w:tcPr>
          <w:p>
            <w:pPr>
              <w:adjustRightInd w:val="0"/>
              <w:snapToGrid w:val="0"/>
              <w:ind w:firstLine="420" w:firstLineChars="200"/>
              <w:rPr>
                <w:rFonts w:ascii="宋体" w:hAnsi="Times New Roman" w:eastAsia="宋体" w:cs="宋体"/>
                <w:kern w:val="0"/>
                <w:szCs w:val="24"/>
              </w:rPr>
            </w:pPr>
            <w:r>
              <w:rPr>
                <w:rFonts w:hint="eastAsia" w:ascii="宋体" w:hAnsi="Times New Roman" w:eastAsia="宋体" w:cs="宋体"/>
                <w:kern w:val="0"/>
                <w:szCs w:val="24"/>
              </w:rPr>
              <w:t>以“★”标注的内容，若出现不响应或任何的负偏离，将导致投标无效。以《实质性条款响应情况表》为准。</w:t>
            </w:r>
          </w:p>
        </w:tc>
      </w:tr>
    </w:tbl>
    <w:p>
      <w:pPr>
        <w:widowControl/>
        <w:shd w:val="clear" w:color="auto" w:fill="FFFFFF"/>
        <w:tabs>
          <w:tab w:val="left" w:pos="426"/>
        </w:tabs>
        <w:adjustRightInd w:val="0"/>
        <w:snapToGrid w:val="0"/>
        <w:spacing w:line="360" w:lineRule="auto"/>
        <w:ind w:firstLine="422"/>
        <w:rPr>
          <w:rFonts w:ascii="宋体" w:hAnsi="Times New Roman" w:eastAsia="宋体" w:cs="宋体"/>
          <w:b/>
          <w:kern w:val="0"/>
          <w:szCs w:val="24"/>
        </w:rPr>
      </w:pPr>
      <w:r>
        <w:rPr>
          <w:rFonts w:hint="eastAsia" w:ascii="宋体" w:hAnsi="Times New Roman" w:eastAsia="宋体" w:cs="宋体"/>
          <w:b/>
          <w:kern w:val="0"/>
          <w:szCs w:val="24"/>
        </w:rPr>
        <w:t>备注：</w:t>
      </w:r>
    </w:p>
    <w:p>
      <w:pPr>
        <w:widowControl/>
        <w:shd w:val="clear" w:color="auto" w:fill="FFFFFF"/>
        <w:tabs>
          <w:tab w:val="left" w:pos="426"/>
        </w:tabs>
        <w:adjustRightInd w:val="0"/>
        <w:snapToGrid w:val="0"/>
        <w:spacing w:line="360" w:lineRule="auto"/>
        <w:ind w:firstLine="422" w:firstLineChars="200"/>
        <w:rPr>
          <w:rFonts w:ascii="宋体" w:hAnsi="Times New Roman" w:eastAsia="宋体" w:cs="宋体"/>
          <w:b/>
          <w:color w:val="FF0000"/>
          <w:kern w:val="0"/>
          <w:szCs w:val="24"/>
        </w:rPr>
      </w:pPr>
      <w:r>
        <w:rPr>
          <w:rFonts w:hint="eastAsia" w:ascii="宋体" w:hAnsi="Times New Roman" w:eastAsia="宋体" w:cs="宋体"/>
          <w:b/>
          <w:kern w:val="0"/>
          <w:szCs w:val="24"/>
        </w:rPr>
        <w:t>1.上表所列内容为不可负偏离条款，如投标供应商该部分内容出现负偏离或未对该部分内容进行响应，将按照符合性检查表作无效标处理。</w:t>
      </w:r>
      <w:bookmarkStart w:id="71" w:name="_Toc150794060"/>
      <w:r>
        <w:rPr>
          <w:rFonts w:hint="eastAsia" w:ascii="宋体" w:hAnsi="Times New Roman" w:eastAsia="宋体" w:cs="宋体"/>
          <w:b/>
          <w:color w:val="FF0000"/>
          <w:kern w:val="0"/>
          <w:szCs w:val="24"/>
        </w:rPr>
        <w:t>已明确要求提供相关证明材料，但投标人在投标文件中未提供相关证明材料的视为负偏离，作无效标处理。</w:t>
      </w:r>
    </w:p>
    <w:p>
      <w:pPr>
        <w:keepNext/>
        <w:keepLines/>
        <w:spacing w:before="260" w:after="260" w:line="360" w:lineRule="auto"/>
        <w:ind w:firstLine="482"/>
        <w:outlineLvl w:val="2"/>
        <w:rPr>
          <w:rFonts w:ascii="宋体" w:hAnsi="Times New Roman" w:eastAsia="宋体" w:cs="Times New Roman"/>
          <w:b/>
          <w:sz w:val="24"/>
          <w:szCs w:val="24"/>
        </w:rPr>
      </w:pPr>
      <w:bookmarkStart w:id="72" w:name="_Toc167352556"/>
      <w:r>
        <w:rPr>
          <w:rFonts w:hint="eastAsia" w:ascii="宋体" w:hAnsi="Times New Roman" w:eastAsia="宋体" w:cs="Times New Roman"/>
          <w:b/>
          <w:sz w:val="24"/>
          <w:szCs w:val="24"/>
        </w:rPr>
        <w:t>三、</w:t>
      </w:r>
      <w:bookmarkEnd w:id="71"/>
      <w:r>
        <w:rPr>
          <w:rFonts w:hint="eastAsia" w:ascii="宋体" w:hAnsi="Times New Roman" w:eastAsia="宋体" w:cs="Times New Roman"/>
          <w:b/>
          <w:sz w:val="24"/>
          <w:szCs w:val="24"/>
        </w:rPr>
        <w:t>技术要求</w:t>
      </w:r>
      <w:bookmarkEnd w:id="72"/>
    </w:p>
    <w:tbl>
      <w:tblPr>
        <w:tblStyle w:val="86"/>
        <w:tblW w:w="10609" w:type="dxa"/>
        <w:jc w:val="center"/>
        <w:tblLayout w:type="fixed"/>
        <w:tblCellMar>
          <w:top w:w="0" w:type="dxa"/>
          <w:left w:w="108" w:type="dxa"/>
          <w:bottom w:w="0" w:type="dxa"/>
          <w:right w:w="108" w:type="dxa"/>
        </w:tblCellMar>
      </w:tblPr>
      <w:tblGrid>
        <w:gridCol w:w="10609"/>
      </w:tblGrid>
      <w:tr>
        <w:trPr>
          <w:trHeight w:val="887" w:hRule="atLeast"/>
          <w:jc w:val="center"/>
        </w:trPr>
        <w:tc>
          <w:tcPr>
            <w:tcW w:w="10609" w:type="dxa"/>
            <w:vAlign w:val="center"/>
          </w:tcPr>
          <w:p>
            <w:pPr>
              <w:widowControl/>
              <w:jc w:val="left"/>
              <w:rPr>
                <w:rFonts w:ascii="宋体" w:hAnsi="宋体" w:eastAsia="宋体" w:cs="宋体"/>
                <w:b/>
                <w:bCs/>
                <w:kern w:val="0"/>
                <w:szCs w:val="21"/>
              </w:rPr>
            </w:pPr>
            <w:bookmarkStart w:id="73" w:name="_Hlk182780961"/>
            <w:r>
              <w:rPr>
                <w:rFonts w:hint="eastAsia" w:ascii="宋体" w:hAnsi="宋体" w:eastAsia="宋体"/>
                <w:b/>
                <w:bCs/>
              </w:rPr>
              <w:t>1.具体内容和要求</w:t>
            </w:r>
          </w:p>
          <w:bookmarkEnd w:id="73"/>
          <w:p>
            <w:pPr>
              <w:widowControl/>
              <w:jc w:val="center"/>
              <w:rPr>
                <w:rFonts w:ascii="宋体" w:hAnsi="宋体" w:eastAsia="宋体" w:cs="宋体"/>
                <w:b/>
                <w:kern w:val="0"/>
                <w:szCs w:val="21"/>
              </w:rPr>
            </w:pPr>
            <w:r>
              <w:rPr>
                <w:rFonts w:hint="eastAsia" w:ascii="宋体" w:hAnsi="宋体" w:eastAsia="宋体" w:cs="宋体"/>
                <w:b/>
                <w:kern w:val="0"/>
                <w:szCs w:val="21"/>
              </w:rPr>
              <w:t>采购人：深圳海关后勤管理中心（最高限价：191,400.00元）</w:t>
            </w:r>
          </w:p>
          <w:tbl>
            <w:tblPr>
              <w:tblStyle w:val="86"/>
              <w:tblW w:w="9498" w:type="dxa"/>
              <w:jc w:val="center"/>
              <w:tblLayout w:type="fixed"/>
              <w:tblCellMar>
                <w:top w:w="0" w:type="dxa"/>
                <w:left w:w="108" w:type="dxa"/>
                <w:bottom w:w="0" w:type="dxa"/>
                <w:right w:w="108" w:type="dxa"/>
              </w:tblCellMar>
            </w:tblPr>
            <w:tblGrid>
              <w:gridCol w:w="578"/>
              <w:gridCol w:w="1705"/>
              <w:gridCol w:w="968"/>
              <w:gridCol w:w="1132"/>
              <w:gridCol w:w="1991"/>
              <w:gridCol w:w="1132"/>
              <w:gridCol w:w="1992"/>
            </w:tblGrid>
            <w:tr>
              <w:tblPrEx>
                <w:tblCellMar>
                  <w:top w:w="0" w:type="dxa"/>
                  <w:left w:w="108" w:type="dxa"/>
                  <w:bottom w:w="0" w:type="dxa"/>
                  <w:right w:w="108" w:type="dxa"/>
                </w:tblCellMar>
              </w:tblPrEx>
              <w:trPr>
                <w:trHeight w:val="64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设备代码(后10位)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电梯品牌</w:t>
                  </w:r>
                </w:p>
              </w:tc>
              <w:tc>
                <w:tcPr>
                  <w:tcW w:w="1132" w:type="dxa"/>
                  <w:tcBorders>
                    <w:top w:val="single" w:color="000000" w:sz="4" w:space="0"/>
                    <w:left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电梯层/站</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运行地点</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szCs w:val="21"/>
                    </w:rPr>
                    <w:t>最高限价(元/年</w:t>
                  </w:r>
                  <w:r>
                    <w:rPr>
                      <w:rFonts w:hint="eastAsia" w:ascii="宋体" w:hAnsi="宋体" w:eastAsia="宋体" w:cs="宋体"/>
                      <w:kern w:val="0"/>
                      <w:szCs w:val="21"/>
                    </w:rPr>
                    <w:t>）</w:t>
                  </w:r>
                </w:p>
              </w:tc>
              <w:tc>
                <w:tcPr>
                  <w:tcW w:w="199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szCs w:val="21"/>
                    </w:rPr>
                    <w:t>合同期限</w:t>
                  </w:r>
                </w:p>
              </w:tc>
            </w:tr>
            <w:tr>
              <w:tblPrEx>
                <w:tblCellMar>
                  <w:top w:w="0" w:type="dxa"/>
                  <w:left w:w="108" w:type="dxa"/>
                  <w:bottom w:w="0" w:type="dxa"/>
                  <w:right w:w="108" w:type="dxa"/>
                </w:tblCellMar>
              </w:tblPrEx>
              <w:trPr>
                <w:trHeight w:val="62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1994091842</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日本东芝AC-2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文锦渡仓库</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restart"/>
                  <w:tcBorders>
                    <w:top w:val="single" w:color="000000" w:sz="4" w:space="0"/>
                    <w:left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1994091843</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日本东芝AC-2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2002030614</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上海三菱SG-VF</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2层/2站</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同乐仓库</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tcBorders>
                    <w:top w:val="single" w:color="000000" w:sz="4" w:space="0"/>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1994124667</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上海安达PC-XPM</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3层/3站</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布吉仓库</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restart"/>
                  <w:tcBorders>
                    <w:top w:val="single" w:color="000000" w:sz="4" w:space="0"/>
                    <w:left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1994124668</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上海安达PC-XPM</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3层/3站</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1994104451</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迅达M-B</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草埔仓库</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restart"/>
                  <w:tcBorders>
                    <w:top w:val="single" w:color="000000" w:sz="4" w:space="0"/>
                    <w:left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1999071110</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日本东芝M-B</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45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Style w:val="1386"/>
                      <w:rFonts w:hint="default"/>
                      <w:color w:val="auto"/>
                      <w:sz w:val="21"/>
                      <w:szCs w:val="21"/>
                    </w:rPr>
                    <w:t>日本LF</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7层/7站</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Style w:val="1386"/>
                      <w:rFonts w:hint="default"/>
                      <w:color w:val="auto"/>
                      <w:sz w:val="21"/>
                      <w:szCs w:val="21"/>
                    </w:rPr>
                    <w:t>沙头角</w:t>
                  </w:r>
                  <w:r>
                    <w:rPr>
                      <w:rStyle w:val="1387"/>
                      <w:rFonts w:hint="default"/>
                      <w:color w:val="auto"/>
                      <w:sz w:val="21"/>
                      <w:szCs w:val="21"/>
                    </w:rPr>
                    <w:t>仓库</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szCs w:val="21"/>
                    </w:rPr>
                    <w:t>新装电梯，待定。</w:t>
                  </w:r>
                </w:p>
              </w:tc>
            </w:tr>
            <w:tr>
              <w:tblPrEx>
                <w:tblCellMar>
                  <w:top w:w="0" w:type="dxa"/>
                  <w:left w:w="108" w:type="dxa"/>
                  <w:bottom w:w="0" w:type="dxa"/>
                  <w:right w:w="108" w:type="dxa"/>
                </w:tblCellMar>
              </w:tblPrEx>
              <w:trPr>
                <w:trHeight w:val="3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9</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美国</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传送带</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Style w:val="1386"/>
                      <w:rFonts w:hint="default"/>
                      <w:color w:val="auto"/>
                      <w:sz w:val="21"/>
                      <w:szCs w:val="21"/>
                    </w:rPr>
                    <w:t>罗湖</w:t>
                  </w:r>
                  <w:r>
                    <w:rPr>
                      <w:rStyle w:val="1387"/>
                      <w:rFonts w:hint="default"/>
                      <w:color w:val="auto"/>
                      <w:sz w:val="21"/>
                      <w:szCs w:val="21"/>
                    </w:rPr>
                    <w:t>仓库</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tcBorders>
                    <w:top w:val="single" w:color="000000" w:sz="4" w:space="0"/>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2001072307</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三菱GPS-III</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5层/5站</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深圳市罗湖区文锦南路1009号</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restart"/>
                  <w:tcBorders>
                    <w:top w:val="single" w:color="000000" w:sz="4" w:space="0"/>
                    <w:left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2025.9.1-2026.8.31</w:t>
                  </w:r>
                </w:p>
              </w:tc>
            </w:tr>
            <w:tr>
              <w:tblPrEx>
                <w:tblCellMar>
                  <w:top w:w="0" w:type="dxa"/>
                  <w:left w:w="108" w:type="dxa"/>
                  <w:bottom w:w="0" w:type="dxa"/>
                  <w:right w:w="108" w:type="dxa"/>
                </w:tblCellMar>
              </w:tblPrEx>
              <w:trPr>
                <w:trHeight w:val="528"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2001072306</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三菱GPS-III</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5层/5站</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5202401206</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雷登TKU</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5层/5站</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深圳市盐田区盐沙路18号梅沙生活区A区</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tcBorders>
                    <w:top w:val="single" w:color="000000" w:sz="4" w:space="0"/>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新装电梯，待定。</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13</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2004004599</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日立NPX</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10层/10站</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深圳市宝安区新安二路142号（同乐海关办公区）</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restart"/>
                  <w:tcBorders>
                    <w:top w:val="single" w:color="000000" w:sz="4" w:space="0"/>
                    <w:left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2004004600</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日立NPX</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9层/9站</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2010004046</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三菱GPS-III</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14层/14站</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深圳市罗湖区宝岗路2号笋岗海关综合大楼（笋岗海关办公区）</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restart"/>
                  <w:tcBorders>
                    <w:top w:val="single" w:color="000000" w:sz="4" w:space="0"/>
                    <w:left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16</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2010004047</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三菱GPS-III</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14层/14站</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17</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2020032684</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恒达富士FHND</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深圳市罗湖区北站路笋岗海关综合大楼（笋岗海关办公区）</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7800.00</w:t>
                  </w:r>
                </w:p>
              </w:tc>
              <w:tc>
                <w:tcPr>
                  <w:tcW w:w="1992" w:type="dxa"/>
                  <w:tcBorders>
                    <w:top w:val="single" w:color="000000" w:sz="4" w:space="0"/>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18</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2010004591</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三菱LEHY-II</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5层/5站</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深圳市盐田区沙头角街道深沙路沙头角口岸检验检疫局监控楼（沙头角海关办公区）</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7200.00</w:t>
                  </w:r>
                </w:p>
              </w:tc>
              <w:tc>
                <w:tcPr>
                  <w:tcW w:w="1992" w:type="dxa"/>
                  <w:vMerge w:val="restart"/>
                  <w:tcBorders>
                    <w:top w:val="single" w:color="000000" w:sz="4" w:space="0"/>
                    <w:left w:val="single" w:color="000000" w:sz="4" w:space="0"/>
                    <w:right w:val="single" w:color="000000" w:sz="4" w:space="0"/>
                  </w:tcBorders>
                  <w:vAlign w:val="center"/>
                </w:tcPr>
                <w:p>
                  <w:pPr>
                    <w:tabs>
                      <w:tab w:val="left" w:pos="426"/>
                    </w:tabs>
                    <w:jc w:val="center"/>
                    <w:rPr>
                      <w:rFonts w:ascii="宋体" w:hAnsi="宋体" w:eastAsia="宋体" w:cs="宋体"/>
                      <w:szCs w:val="21"/>
                    </w:rPr>
                  </w:pPr>
                  <w:r>
                    <w:rPr>
                      <w:rFonts w:hint="eastAsia" w:ascii="宋体" w:hAnsi="宋体" w:eastAsia="宋体" w:cs="宋体"/>
                      <w:szCs w:val="21"/>
                    </w:rPr>
                    <w:t>2025.6.1-2026.5.31</w:t>
                  </w: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2000020267</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8层/8站</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深圳市盐田区深沙路79号沙头角海关（沙头角海关办公区）</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left w:val="single" w:color="000000" w:sz="4" w:space="0"/>
                    <w:right w:val="single" w:color="000000" w:sz="4" w:space="0"/>
                  </w:tcBorders>
                  <w:noWrap/>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2000030288</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7层/7站</w:t>
                  </w:r>
                </w:p>
              </w:tc>
              <w:tc>
                <w:tcPr>
                  <w:tcW w:w="1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深圳市盐田区沙头角动植物检疫大楼（沙头角海关办公区）</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left w:val="single" w:color="000000" w:sz="4" w:space="0"/>
                    <w:bottom w:val="single" w:color="000000" w:sz="4" w:space="0"/>
                    <w:right w:val="single" w:color="000000" w:sz="4" w:space="0"/>
                  </w:tcBorders>
                  <w:noWrap/>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21</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Style w:val="1388"/>
                      <w:rFonts w:hint="default"/>
                      <w:color w:val="auto"/>
                      <w:sz w:val="21"/>
                      <w:szCs w:val="21"/>
                    </w:rPr>
                    <w:t>日立L</w:t>
                  </w:r>
                  <w:r>
                    <w:rPr>
                      <w:rStyle w:val="1387"/>
                      <w:rFonts w:hint="default"/>
                      <w:color w:val="auto"/>
                      <w:sz w:val="21"/>
                      <w:szCs w:val="21"/>
                    </w:rPr>
                    <w:t>GE</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深圳市盐田区沙头角海关综合楼</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szCs w:val="21"/>
                    </w:rPr>
                    <w:t>新装电梯，待定。</w:t>
                  </w:r>
                </w:p>
              </w:tc>
            </w:tr>
            <w:tr>
              <w:tblPrEx>
                <w:tblCellMar>
                  <w:top w:w="0" w:type="dxa"/>
                  <w:left w:w="108" w:type="dxa"/>
                  <w:bottom w:w="0" w:type="dxa"/>
                  <w:right w:w="108" w:type="dxa"/>
                </w:tblCellMar>
              </w:tblPrEx>
              <w:trPr>
                <w:trHeight w:val="608"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22</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Style w:val="1388"/>
                      <w:rFonts w:hint="default"/>
                      <w:color w:val="auto"/>
                      <w:sz w:val="21"/>
                      <w:szCs w:val="21"/>
                    </w:rPr>
                    <w:t>日立L</w:t>
                  </w:r>
                  <w:r>
                    <w:rPr>
                      <w:rStyle w:val="1387"/>
                      <w:rFonts w:hint="default"/>
                      <w:color w:val="auto"/>
                      <w:sz w:val="21"/>
                      <w:szCs w:val="21"/>
                    </w:rPr>
                    <w:t>GE</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3层/3站</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深圳市盐田区沙头角园林路办公区食堂楼</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426"/>
                    </w:tabs>
                    <w:jc w:val="center"/>
                    <w:rPr>
                      <w:rFonts w:ascii="宋体" w:hAnsi="宋体" w:eastAsia="宋体" w:cs="宋体"/>
                      <w:szCs w:val="21"/>
                    </w:rPr>
                  </w:pPr>
                </w:p>
              </w:tc>
            </w:tr>
            <w:tr>
              <w:tblPrEx>
                <w:tblCellMar>
                  <w:top w:w="0" w:type="dxa"/>
                  <w:left w:w="108" w:type="dxa"/>
                  <w:bottom w:w="0" w:type="dxa"/>
                  <w:right w:w="108" w:type="dxa"/>
                </w:tblCellMar>
              </w:tblPrEx>
              <w:trPr>
                <w:trHeight w:val="70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23</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426"/>
                    </w:tabs>
                    <w:jc w:val="center"/>
                    <w:rPr>
                      <w:rFonts w:ascii="宋体" w:hAnsi="宋体" w:eastAsia="宋体" w:cs="宋体"/>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Style w:val="1388"/>
                      <w:rFonts w:hint="default"/>
                      <w:color w:val="auto"/>
                      <w:sz w:val="21"/>
                      <w:szCs w:val="21"/>
                    </w:rPr>
                    <w:t>法布F</w:t>
                  </w:r>
                  <w:r>
                    <w:rPr>
                      <w:rStyle w:val="1387"/>
                      <w:rFonts w:hint="default"/>
                      <w:color w:val="auto"/>
                      <w:sz w:val="21"/>
                      <w:szCs w:val="21"/>
                    </w:rPr>
                    <w:t>B-300</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abs>
                      <w:tab w:val="left" w:pos="426"/>
                    </w:tabs>
                    <w:jc w:val="center"/>
                    <w:textAlignment w:val="center"/>
                    <w:rPr>
                      <w:rFonts w:ascii="宋体" w:hAnsi="宋体" w:eastAsia="宋体" w:cs="宋体"/>
                      <w:szCs w:val="21"/>
                    </w:rPr>
                  </w:pPr>
                  <w:r>
                    <w:rPr>
                      <w:rStyle w:val="1388"/>
                      <w:rFonts w:hint="default"/>
                      <w:color w:val="auto"/>
                      <w:sz w:val="21"/>
                      <w:szCs w:val="21"/>
                    </w:rPr>
                    <w:t>3层/</w:t>
                  </w:r>
                  <w:r>
                    <w:rPr>
                      <w:rStyle w:val="1387"/>
                      <w:rFonts w:hint="default"/>
                      <w:color w:val="auto"/>
                      <w:sz w:val="21"/>
                      <w:szCs w:val="21"/>
                    </w:rPr>
                    <w:t>3站</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深圳市盐田区沙头角园林路办公区食堂楼</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426"/>
                    </w:tabs>
                    <w:jc w:val="center"/>
                    <w:rPr>
                      <w:rFonts w:ascii="宋体" w:hAnsi="宋体" w:eastAsia="宋体" w:cs="宋体"/>
                      <w:szCs w:val="21"/>
                    </w:rPr>
                  </w:pPr>
                </w:p>
              </w:tc>
            </w:tr>
          </w:tbl>
          <w:p>
            <w:pPr>
              <w:widowControl/>
              <w:jc w:val="center"/>
              <w:rPr>
                <w:rFonts w:ascii="宋体" w:hAnsi="宋体" w:eastAsia="宋体" w:cs="宋体"/>
                <w:b/>
                <w:kern w:val="0"/>
                <w:szCs w:val="21"/>
              </w:rPr>
            </w:pPr>
            <w:r>
              <w:rPr>
                <w:rFonts w:hint="eastAsia" w:ascii="宋体" w:hAnsi="宋体" w:eastAsia="宋体" w:cs="宋体"/>
                <w:b/>
                <w:kern w:val="0"/>
                <w:szCs w:val="21"/>
              </w:rPr>
              <w:t>采购人：深圳市深海悦物业管理服务有限公司（最高限价：16,800.00元）</w:t>
            </w:r>
          </w:p>
          <w:tbl>
            <w:tblPr>
              <w:tblStyle w:val="86"/>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710"/>
              <w:gridCol w:w="999"/>
              <w:gridCol w:w="1102"/>
              <w:gridCol w:w="1977"/>
              <w:gridCol w:w="1118"/>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shd w:val="clear" w:color="000000" w:fill="FFFFFF"/>
                  <w:vAlign w:val="center"/>
                </w:tcPr>
                <w:p>
                  <w:pPr>
                    <w:jc w:val="center"/>
                    <w:rPr>
                      <w:rFonts w:ascii="宋体" w:hAnsi="宋体" w:eastAsia="宋体"/>
                      <w:szCs w:val="21"/>
                    </w:rPr>
                  </w:pPr>
                  <w:r>
                    <w:rPr>
                      <w:rFonts w:hint="eastAsia" w:ascii="宋体" w:hAnsi="宋体" w:eastAsia="宋体"/>
                      <w:szCs w:val="21"/>
                    </w:rPr>
                    <w:t>序号</w:t>
                  </w:r>
                </w:p>
              </w:tc>
              <w:tc>
                <w:tcPr>
                  <w:tcW w:w="899" w:type="pct"/>
                  <w:shd w:val="clear" w:color="000000" w:fill="FFFFFF"/>
                  <w:vAlign w:val="center"/>
                </w:tcPr>
                <w:p>
                  <w:pPr>
                    <w:jc w:val="center"/>
                    <w:rPr>
                      <w:rFonts w:ascii="宋体" w:hAnsi="宋体" w:eastAsia="宋体"/>
                      <w:szCs w:val="21"/>
                    </w:rPr>
                  </w:pPr>
                  <w:r>
                    <w:rPr>
                      <w:rFonts w:hint="eastAsia" w:ascii="宋体" w:hAnsi="宋体" w:eastAsia="宋体"/>
                      <w:szCs w:val="21"/>
                    </w:rPr>
                    <w:t>设备代码</w:t>
                  </w:r>
                </w:p>
              </w:tc>
              <w:tc>
                <w:tcPr>
                  <w:tcW w:w="525" w:type="pct"/>
                  <w:shd w:val="clear" w:color="000000" w:fill="FFFFFF"/>
                  <w:vAlign w:val="center"/>
                </w:tcPr>
                <w:p>
                  <w:pPr>
                    <w:jc w:val="center"/>
                    <w:rPr>
                      <w:rFonts w:ascii="宋体" w:hAnsi="宋体" w:eastAsia="宋体"/>
                      <w:szCs w:val="21"/>
                    </w:rPr>
                  </w:pPr>
                  <w:r>
                    <w:rPr>
                      <w:rFonts w:hint="eastAsia" w:ascii="宋体" w:hAnsi="宋体" w:eastAsia="宋体"/>
                      <w:szCs w:val="21"/>
                    </w:rPr>
                    <w:t>电梯品牌</w:t>
                  </w:r>
                </w:p>
              </w:tc>
              <w:tc>
                <w:tcPr>
                  <w:tcW w:w="580" w:type="pct"/>
                  <w:shd w:val="clear" w:color="000000" w:fill="FFFFFF"/>
                  <w:vAlign w:val="center"/>
                </w:tcPr>
                <w:p>
                  <w:pPr>
                    <w:jc w:val="center"/>
                    <w:rPr>
                      <w:rFonts w:ascii="宋体" w:hAnsi="宋体" w:eastAsia="宋体"/>
                      <w:szCs w:val="21"/>
                    </w:rPr>
                  </w:pPr>
                  <w:r>
                    <w:rPr>
                      <w:rFonts w:hint="eastAsia" w:ascii="宋体" w:hAnsi="宋体" w:eastAsia="宋体"/>
                      <w:szCs w:val="21"/>
                    </w:rPr>
                    <w:t>电梯层/站</w:t>
                  </w:r>
                </w:p>
              </w:tc>
              <w:tc>
                <w:tcPr>
                  <w:tcW w:w="1040" w:type="pct"/>
                  <w:shd w:val="clear" w:color="000000" w:fill="FFFFFF"/>
                  <w:vAlign w:val="center"/>
                </w:tcPr>
                <w:p>
                  <w:pPr>
                    <w:jc w:val="center"/>
                    <w:rPr>
                      <w:rFonts w:ascii="宋体" w:hAnsi="宋体" w:eastAsia="宋体"/>
                      <w:szCs w:val="21"/>
                    </w:rPr>
                  </w:pPr>
                  <w:r>
                    <w:rPr>
                      <w:rFonts w:hint="eastAsia" w:ascii="宋体" w:hAnsi="宋体" w:eastAsia="宋体"/>
                      <w:szCs w:val="21"/>
                    </w:rPr>
                    <w:t>运行地点</w:t>
                  </w:r>
                </w:p>
              </w:tc>
              <w:tc>
                <w:tcPr>
                  <w:tcW w:w="588" w:type="pct"/>
                  <w:shd w:val="clear" w:color="000000" w:fill="FFFFFF"/>
                  <w:vAlign w:val="center"/>
                </w:tcPr>
                <w:p>
                  <w:pPr>
                    <w:jc w:val="center"/>
                    <w:rPr>
                      <w:rFonts w:ascii="宋体" w:hAnsi="宋体" w:eastAsia="宋体"/>
                      <w:szCs w:val="21"/>
                    </w:rPr>
                  </w:pPr>
                  <w:r>
                    <w:rPr>
                      <w:rFonts w:hint="eastAsia" w:ascii="宋体" w:hAnsi="宋体" w:eastAsia="宋体"/>
                      <w:szCs w:val="21"/>
                    </w:rPr>
                    <w:t>最高限价(元/年）</w:t>
                  </w:r>
                </w:p>
              </w:tc>
              <w:tc>
                <w:tcPr>
                  <w:tcW w:w="1040" w:type="pct"/>
                  <w:shd w:val="clear" w:color="000000" w:fill="FFFFFF"/>
                  <w:vAlign w:val="center"/>
                </w:tcPr>
                <w:p>
                  <w:pPr>
                    <w:jc w:val="center"/>
                    <w:rPr>
                      <w:rFonts w:ascii="宋体" w:hAnsi="宋体" w:eastAsia="宋体"/>
                      <w:szCs w:val="21"/>
                    </w:rPr>
                  </w:pPr>
                  <w:r>
                    <w:rPr>
                      <w:rFonts w:hint="eastAsia" w:ascii="宋体" w:hAnsi="宋体" w:eastAsia="宋体"/>
                      <w:szCs w:val="21"/>
                    </w:rPr>
                    <w:t>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26" w:type="pct"/>
                  <w:shd w:val="clear" w:color="000000" w:fill="FFFFFF"/>
                  <w:vAlign w:val="center"/>
                </w:tcPr>
                <w:p>
                  <w:pPr>
                    <w:jc w:val="center"/>
                    <w:rPr>
                      <w:rFonts w:ascii="宋体" w:hAnsi="宋体" w:eastAsia="宋体"/>
                      <w:szCs w:val="21"/>
                    </w:rPr>
                  </w:pPr>
                  <w:r>
                    <w:rPr>
                      <w:rFonts w:hint="eastAsia" w:ascii="宋体" w:hAnsi="宋体" w:eastAsia="宋体"/>
                      <w:szCs w:val="21"/>
                    </w:rPr>
                    <w:t>1</w:t>
                  </w:r>
                </w:p>
              </w:tc>
              <w:tc>
                <w:tcPr>
                  <w:tcW w:w="899" w:type="pct"/>
                  <w:shd w:val="clear" w:color="000000" w:fill="FFFFFF"/>
                  <w:vAlign w:val="center"/>
                </w:tcPr>
                <w:p>
                  <w:pPr>
                    <w:jc w:val="center"/>
                    <w:rPr>
                      <w:rFonts w:ascii="宋体" w:hAnsi="宋体" w:eastAsia="宋体"/>
                      <w:szCs w:val="21"/>
                    </w:rPr>
                  </w:pPr>
                  <w:r>
                    <w:rPr>
                      <w:rFonts w:hint="eastAsia" w:ascii="宋体" w:hAnsi="宋体" w:eastAsia="宋体"/>
                      <w:szCs w:val="21"/>
                    </w:rPr>
                    <w:t>30104403001999060859</w:t>
                  </w:r>
                </w:p>
              </w:tc>
              <w:tc>
                <w:tcPr>
                  <w:tcW w:w="525" w:type="pct"/>
                  <w:shd w:val="clear" w:color="000000" w:fill="FFFFFF"/>
                  <w:vAlign w:val="center"/>
                </w:tcPr>
                <w:p>
                  <w:pPr>
                    <w:jc w:val="center"/>
                    <w:rPr>
                      <w:rFonts w:ascii="宋体" w:hAnsi="宋体" w:eastAsia="宋体"/>
                      <w:szCs w:val="21"/>
                    </w:rPr>
                  </w:pPr>
                  <w:r>
                    <w:rPr>
                      <w:rFonts w:hint="eastAsia" w:ascii="宋体" w:hAnsi="宋体" w:eastAsia="宋体"/>
                      <w:szCs w:val="21"/>
                    </w:rPr>
                    <w:t>三菱GPS-III</w:t>
                  </w:r>
                </w:p>
              </w:tc>
              <w:tc>
                <w:tcPr>
                  <w:tcW w:w="580" w:type="pct"/>
                  <w:shd w:val="clear" w:color="000000" w:fill="FFFFFF"/>
                  <w:vAlign w:val="center"/>
                </w:tcPr>
                <w:p>
                  <w:pPr>
                    <w:jc w:val="center"/>
                    <w:rPr>
                      <w:rFonts w:ascii="宋体" w:hAnsi="宋体" w:eastAsia="宋体"/>
                      <w:szCs w:val="21"/>
                    </w:rPr>
                  </w:pPr>
                  <w:r>
                    <w:rPr>
                      <w:rFonts w:ascii="宋体" w:hAnsi="宋体" w:eastAsia="宋体"/>
                      <w:szCs w:val="21"/>
                    </w:rPr>
                    <w:t>10</w:t>
                  </w:r>
                  <w:r>
                    <w:rPr>
                      <w:rFonts w:hint="eastAsia" w:ascii="宋体" w:hAnsi="宋体" w:eastAsia="宋体"/>
                      <w:szCs w:val="21"/>
                    </w:rPr>
                    <w:t>层/10站</w:t>
                  </w:r>
                </w:p>
              </w:tc>
              <w:tc>
                <w:tcPr>
                  <w:tcW w:w="1040" w:type="pct"/>
                  <w:vMerge w:val="restart"/>
                  <w:shd w:val="clear" w:color="000000" w:fill="FFFFFF"/>
                  <w:vAlign w:val="center"/>
                </w:tcPr>
                <w:p>
                  <w:pPr>
                    <w:jc w:val="center"/>
                    <w:rPr>
                      <w:rFonts w:ascii="宋体" w:hAnsi="宋体" w:eastAsia="宋体"/>
                      <w:szCs w:val="21"/>
                    </w:rPr>
                  </w:pPr>
                  <w:r>
                    <w:rPr>
                      <w:rFonts w:hint="eastAsia" w:ascii="宋体" w:hAnsi="宋体" w:eastAsia="宋体"/>
                      <w:szCs w:val="21"/>
                    </w:rPr>
                    <w:t>深圳市罗湖区和平路1087号（深圳海关缉私局办公区）</w:t>
                  </w:r>
                </w:p>
              </w:tc>
              <w:tc>
                <w:tcPr>
                  <w:tcW w:w="588" w:type="pct"/>
                  <w:shd w:val="clear" w:color="000000" w:fill="FFFFFF"/>
                  <w:vAlign w:val="center"/>
                </w:tcPr>
                <w:p>
                  <w:pPr>
                    <w:jc w:val="center"/>
                    <w:rPr>
                      <w:rFonts w:ascii="宋体" w:hAnsi="宋体" w:eastAsia="宋体"/>
                      <w:szCs w:val="21"/>
                    </w:rPr>
                  </w:pPr>
                  <w:r>
                    <w:rPr>
                      <w:rFonts w:hint="eastAsia" w:ascii="宋体" w:hAnsi="宋体" w:eastAsia="宋体"/>
                      <w:szCs w:val="21"/>
                    </w:rPr>
                    <w:t>8400.00</w:t>
                  </w:r>
                </w:p>
              </w:tc>
              <w:tc>
                <w:tcPr>
                  <w:tcW w:w="1040" w:type="pct"/>
                  <w:vMerge w:val="restart"/>
                  <w:shd w:val="clear" w:color="000000" w:fill="FFFFFF"/>
                  <w:vAlign w:val="center"/>
                </w:tcPr>
                <w:p>
                  <w:pPr>
                    <w:jc w:val="center"/>
                    <w:rPr>
                      <w:rFonts w:ascii="宋体" w:hAnsi="宋体" w:eastAsia="宋体"/>
                      <w:szCs w:val="21"/>
                    </w:rPr>
                  </w:pPr>
                  <w:r>
                    <w:rPr>
                      <w:rFonts w:hint="eastAsia" w:ascii="宋体" w:hAnsi="宋体" w:eastAsia="宋体"/>
                      <w:szCs w:val="21"/>
                    </w:rPr>
                    <w:t>2025.1.1-2025.12.31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6" w:type="pct"/>
                  <w:shd w:val="clear" w:color="000000" w:fill="FFFFFF"/>
                  <w:vAlign w:val="center"/>
                </w:tcPr>
                <w:p>
                  <w:pPr>
                    <w:jc w:val="center"/>
                    <w:rPr>
                      <w:rFonts w:ascii="宋体" w:hAnsi="宋体" w:eastAsia="宋体"/>
                      <w:szCs w:val="21"/>
                    </w:rPr>
                  </w:pPr>
                  <w:r>
                    <w:rPr>
                      <w:rFonts w:hint="eastAsia" w:ascii="宋体" w:hAnsi="宋体" w:eastAsia="宋体"/>
                      <w:szCs w:val="21"/>
                    </w:rPr>
                    <w:t>2</w:t>
                  </w:r>
                </w:p>
              </w:tc>
              <w:tc>
                <w:tcPr>
                  <w:tcW w:w="899" w:type="pct"/>
                  <w:shd w:val="clear" w:color="000000" w:fill="FFFFFF"/>
                  <w:vAlign w:val="center"/>
                </w:tcPr>
                <w:p>
                  <w:pPr>
                    <w:jc w:val="center"/>
                    <w:rPr>
                      <w:rFonts w:ascii="宋体" w:hAnsi="宋体" w:eastAsia="宋体"/>
                      <w:szCs w:val="21"/>
                    </w:rPr>
                  </w:pPr>
                  <w:r>
                    <w:rPr>
                      <w:rFonts w:hint="eastAsia" w:ascii="宋体" w:hAnsi="宋体" w:eastAsia="宋体"/>
                      <w:szCs w:val="21"/>
                    </w:rPr>
                    <w:t>30104403001999060860</w:t>
                  </w:r>
                </w:p>
              </w:tc>
              <w:tc>
                <w:tcPr>
                  <w:tcW w:w="525" w:type="pct"/>
                  <w:shd w:val="clear" w:color="000000" w:fill="FFFFFF"/>
                  <w:vAlign w:val="center"/>
                </w:tcPr>
                <w:p>
                  <w:pPr>
                    <w:jc w:val="center"/>
                    <w:rPr>
                      <w:rFonts w:ascii="宋体" w:hAnsi="宋体" w:eastAsia="宋体"/>
                      <w:szCs w:val="21"/>
                    </w:rPr>
                  </w:pPr>
                  <w:r>
                    <w:rPr>
                      <w:rFonts w:hint="eastAsia" w:ascii="宋体" w:hAnsi="宋体" w:eastAsia="宋体"/>
                      <w:szCs w:val="21"/>
                    </w:rPr>
                    <w:t>三菱GPS-III</w:t>
                  </w:r>
                </w:p>
              </w:tc>
              <w:tc>
                <w:tcPr>
                  <w:tcW w:w="580" w:type="pct"/>
                  <w:shd w:val="clear" w:color="000000" w:fill="FFFFFF"/>
                  <w:vAlign w:val="center"/>
                </w:tcPr>
                <w:p>
                  <w:pPr>
                    <w:jc w:val="center"/>
                    <w:rPr>
                      <w:rFonts w:ascii="宋体" w:hAnsi="宋体" w:eastAsia="宋体"/>
                      <w:szCs w:val="21"/>
                    </w:rPr>
                  </w:pPr>
                  <w:r>
                    <w:rPr>
                      <w:rFonts w:ascii="宋体" w:hAnsi="宋体" w:eastAsia="宋体"/>
                      <w:szCs w:val="21"/>
                    </w:rPr>
                    <w:t>10</w:t>
                  </w:r>
                  <w:r>
                    <w:rPr>
                      <w:rFonts w:hint="eastAsia" w:ascii="宋体" w:hAnsi="宋体" w:eastAsia="宋体"/>
                      <w:szCs w:val="21"/>
                    </w:rPr>
                    <w:t>层/10站</w:t>
                  </w:r>
                </w:p>
              </w:tc>
              <w:tc>
                <w:tcPr>
                  <w:tcW w:w="1040" w:type="pct"/>
                  <w:vMerge w:val="continue"/>
                  <w:vAlign w:val="center"/>
                </w:tcPr>
                <w:p>
                  <w:pPr>
                    <w:jc w:val="center"/>
                    <w:rPr>
                      <w:rFonts w:ascii="宋体" w:hAnsi="宋体" w:eastAsia="宋体"/>
                      <w:szCs w:val="21"/>
                    </w:rPr>
                  </w:pPr>
                </w:p>
              </w:tc>
              <w:tc>
                <w:tcPr>
                  <w:tcW w:w="588" w:type="pct"/>
                  <w:vAlign w:val="center"/>
                </w:tcPr>
                <w:p>
                  <w:pPr>
                    <w:jc w:val="center"/>
                    <w:rPr>
                      <w:rFonts w:ascii="宋体" w:hAnsi="宋体" w:eastAsia="宋体"/>
                      <w:szCs w:val="21"/>
                    </w:rPr>
                  </w:pPr>
                  <w:r>
                    <w:rPr>
                      <w:rFonts w:hint="eastAsia" w:ascii="宋体" w:hAnsi="宋体" w:eastAsia="宋体"/>
                      <w:szCs w:val="21"/>
                    </w:rPr>
                    <w:t>8400.00</w:t>
                  </w:r>
                </w:p>
              </w:tc>
              <w:tc>
                <w:tcPr>
                  <w:tcW w:w="1040" w:type="pct"/>
                  <w:vMerge w:val="continue"/>
                  <w:vAlign w:val="center"/>
                </w:tcPr>
                <w:p>
                  <w:pPr>
                    <w:jc w:val="center"/>
                    <w:rPr>
                      <w:rFonts w:ascii="宋体" w:hAnsi="宋体" w:eastAsia="宋体"/>
                      <w:szCs w:val="21"/>
                    </w:rPr>
                  </w:pPr>
                </w:p>
              </w:tc>
            </w:tr>
          </w:tbl>
          <w:p>
            <w:pPr>
              <w:widowControl/>
              <w:jc w:val="center"/>
              <w:rPr>
                <w:rFonts w:ascii="宋体" w:hAnsi="宋体" w:eastAsia="宋体" w:cs="宋体"/>
                <w:b/>
                <w:kern w:val="0"/>
                <w:szCs w:val="21"/>
              </w:rPr>
            </w:pPr>
            <w:r>
              <w:rPr>
                <w:rFonts w:hint="eastAsia" w:ascii="宋体" w:hAnsi="宋体" w:eastAsia="宋体" w:cs="宋体"/>
                <w:b/>
                <w:kern w:val="0"/>
                <w:szCs w:val="21"/>
              </w:rPr>
              <w:t>采购人：深圳市鹏检物业管理有限公司（最高限价：252,000.00元）</w:t>
            </w:r>
          </w:p>
          <w:tbl>
            <w:tblPr>
              <w:tblStyle w:val="8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732"/>
              <w:gridCol w:w="955"/>
              <w:gridCol w:w="1118"/>
              <w:gridCol w:w="1964"/>
              <w:gridCol w:w="1131"/>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序号</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设备代码(后10位)</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电梯品牌</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电梯层/站</w:t>
                  </w:r>
                </w:p>
              </w:tc>
              <w:tc>
                <w:tcPr>
                  <w:tcW w:w="1964"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运行地点</w:t>
                  </w:r>
                </w:p>
              </w:tc>
              <w:tc>
                <w:tcPr>
                  <w:tcW w:w="1131" w:type="dxa"/>
                  <w:shd w:val="clear" w:color="auto" w:fill="FFFFFF"/>
                  <w:vAlign w:val="center"/>
                </w:tcPr>
                <w:p>
                  <w:pPr>
                    <w:jc w:val="center"/>
                    <w:textAlignment w:val="center"/>
                    <w:rPr>
                      <w:rFonts w:ascii="宋体" w:hAnsi="宋体" w:eastAsia="宋体"/>
                      <w:bCs/>
                      <w:szCs w:val="21"/>
                    </w:rPr>
                  </w:pPr>
                  <w:r>
                    <w:rPr>
                      <w:rFonts w:hint="eastAsia" w:ascii="宋体" w:hAnsi="宋体" w:eastAsia="宋体"/>
                      <w:bCs/>
                      <w:szCs w:val="21"/>
                    </w:rPr>
                    <w:t>最高限价(元/年)</w:t>
                  </w:r>
                </w:p>
              </w:tc>
              <w:tc>
                <w:tcPr>
                  <w:tcW w:w="1977"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2010000648</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三菱LEHY-II</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7层/7站</w:t>
                  </w:r>
                </w:p>
              </w:tc>
              <w:tc>
                <w:tcPr>
                  <w:tcW w:w="1964"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深圳市盐田区沙头角海景二路1008号（工业品中心办公区）</w:t>
                  </w: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8400.00</w:t>
                  </w:r>
                </w:p>
              </w:tc>
              <w:tc>
                <w:tcPr>
                  <w:tcW w:w="1977"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2025.1.1-2025.12.31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2010000649</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三菱LEHY-II</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8层/8站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8400.00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1998071115</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三菱GPS-II</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15层/15站</w:t>
                  </w:r>
                </w:p>
              </w:tc>
              <w:tc>
                <w:tcPr>
                  <w:tcW w:w="1964"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深圳市南山区蛇口工业八路289号（工业品中心办公区）</w:t>
                  </w: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9000.00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4</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1998071116</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三菱GPS-II</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15层/15站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9000.00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5</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2013004769</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天奥电梯</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2层/2站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7200.00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6</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2003008425</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新力TWJ250</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4层/4站</w:t>
                  </w:r>
                </w:p>
              </w:tc>
              <w:tc>
                <w:tcPr>
                  <w:tcW w:w="1964"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深圳市南山区蛇口工业七路149号（工业品中心办公区）</w:t>
                  </w: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8400.00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7</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2007009330</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三菱Nexway-s</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64"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深圳市福田区福强路1011号深圳海关福强路办公区A栋（福强路办公区）</w:t>
                  </w: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2007009328</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三菱Nexway-s</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9</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2007009329</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三菱Nexway-s</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2007009331</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33层/20站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11</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2007009332</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33层/20站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12</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2007009333</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33层/20站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2007009327</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34层/21站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14</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2008000807</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33层/33站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15</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2008000808</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33层/33站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16</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1994105905</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日立YPVF</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64"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深圳市福田区福强路1011号深圳海关福强路办公区B栋（福强路办公区）</w:t>
                  </w: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1994105906</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日立YPVF</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18</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1994105907</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日立YPVF</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w:t>
                  </w:r>
                </w:p>
              </w:tc>
              <w:tc>
                <w:tcPr>
                  <w:tcW w:w="173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2014006314</w:t>
                  </w:r>
                </w:p>
              </w:tc>
              <w:tc>
                <w:tcPr>
                  <w:tcW w:w="955"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东南液压电梯</w:t>
                  </w:r>
                </w:p>
              </w:tc>
              <w:tc>
                <w:tcPr>
                  <w:tcW w:w="1118"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3层/3站</w:t>
                  </w:r>
                </w:p>
              </w:tc>
              <w:tc>
                <w:tcPr>
                  <w:tcW w:w="1964" w:type="dxa"/>
                  <w:vMerge w:val="continue"/>
                  <w:shd w:val="clear" w:color="auto" w:fill="FFFFFF"/>
                  <w:vAlign w:val="center"/>
                </w:tcPr>
                <w:p>
                  <w:pPr>
                    <w:jc w:val="center"/>
                    <w:rPr>
                      <w:rFonts w:ascii="宋体" w:hAnsi="宋体" w:eastAsia="宋体"/>
                      <w:szCs w:val="21"/>
                    </w:rPr>
                  </w:pPr>
                </w:p>
              </w:tc>
              <w:tc>
                <w:tcPr>
                  <w:tcW w:w="1131"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7200.00</w:t>
                  </w:r>
                </w:p>
              </w:tc>
              <w:tc>
                <w:tcPr>
                  <w:tcW w:w="1977" w:type="dxa"/>
                  <w:vMerge w:val="continue"/>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w:t>
                  </w:r>
                </w:p>
              </w:tc>
              <w:tc>
                <w:tcPr>
                  <w:tcW w:w="1732" w:type="dxa"/>
                  <w:vAlign w:val="center"/>
                </w:tcPr>
                <w:p>
                  <w:pPr>
                    <w:jc w:val="center"/>
                    <w:textAlignment w:val="center"/>
                    <w:rPr>
                      <w:rFonts w:ascii="宋体" w:hAnsi="宋体" w:eastAsia="宋体"/>
                      <w:szCs w:val="21"/>
                    </w:rPr>
                  </w:pPr>
                  <w:r>
                    <w:rPr>
                      <w:rFonts w:hint="eastAsia" w:ascii="宋体" w:hAnsi="宋体" w:eastAsia="宋体"/>
                      <w:szCs w:val="21"/>
                    </w:rPr>
                    <w:t>2010007704</w:t>
                  </w:r>
                </w:p>
              </w:tc>
              <w:tc>
                <w:tcPr>
                  <w:tcW w:w="955" w:type="dxa"/>
                  <w:vAlign w:val="center"/>
                </w:tcPr>
                <w:p>
                  <w:pPr>
                    <w:jc w:val="center"/>
                    <w:textAlignment w:val="center"/>
                    <w:rPr>
                      <w:rFonts w:ascii="宋体" w:hAnsi="宋体" w:eastAsia="宋体"/>
                      <w:szCs w:val="21"/>
                    </w:rPr>
                  </w:pPr>
                  <w:r>
                    <w:rPr>
                      <w:rFonts w:hint="eastAsia" w:ascii="宋体" w:hAnsi="宋体" w:eastAsia="宋体"/>
                      <w:szCs w:val="21"/>
                    </w:rPr>
                    <w:t>上海三菱LEHY</w:t>
                  </w:r>
                </w:p>
              </w:tc>
              <w:tc>
                <w:tcPr>
                  <w:tcW w:w="1118" w:type="dxa"/>
                  <w:vAlign w:val="center"/>
                </w:tcPr>
                <w:p>
                  <w:pPr>
                    <w:jc w:val="center"/>
                    <w:textAlignment w:val="center"/>
                    <w:rPr>
                      <w:rFonts w:ascii="宋体" w:hAnsi="宋体" w:eastAsia="宋体"/>
                      <w:szCs w:val="21"/>
                    </w:rPr>
                  </w:pPr>
                  <w:r>
                    <w:rPr>
                      <w:rFonts w:hint="eastAsia" w:ascii="宋体" w:hAnsi="宋体" w:eastAsia="宋体"/>
                      <w:szCs w:val="21"/>
                    </w:rPr>
                    <w:t>6层/6站</w:t>
                  </w:r>
                </w:p>
              </w:tc>
              <w:tc>
                <w:tcPr>
                  <w:tcW w:w="1964" w:type="dxa"/>
                  <w:vMerge w:val="restart"/>
                  <w:vAlign w:val="center"/>
                </w:tcPr>
                <w:p>
                  <w:pPr>
                    <w:jc w:val="center"/>
                    <w:textAlignment w:val="center"/>
                    <w:rPr>
                      <w:rFonts w:ascii="宋体" w:hAnsi="宋体" w:eastAsia="宋体"/>
                      <w:szCs w:val="21"/>
                    </w:rPr>
                  </w:pPr>
                  <w:r>
                    <w:rPr>
                      <w:rFonts w:hint="eastAsia" w:ascii="宋体" w:hAnsi="宋体" w:eastAsia="宋体"/>
                      <w:szCs w:val="21"/>
                    </w:rPr>
                    <w:t>盐田区盐梅路新山边村1-2号梅沙B区</w:t>
                  </w:r>
                </w:p>
              </w:tc>
              <w:tc>
                <w:tcPr>
                  <w:tcW w:w="1131" w:type="dxa"/>
                  <w:vAlign w:val="center"/>
                </w:tcPr>
                <w:p>
                  <w:pPr>
                    <w:jc w:val="center"/>
                    <w:textAlignment w:val="center"/>
                    <w:rPr>
                      <w:rFonts w:ascii="宋体" w:hAnsi="宋体" w:eastAsia="宋体"/>
                      <w:szCs w:val="21"/>
                    </w:rPr>
                  </w:pPr>
                  <w:r>
                    <w:rPr>
                      <w:rFonts w:hint="eastAsia" w:ascii="宋体" w:hAnsi="宋体" w:eastAsia="宋体"/>
                      <w:szCs w:val="21"/>
                    </w:rPr>
                    <w:t>7800.00</w:t>
                  </w:r>
                </w:p>
              </w:tc>
              <w:tc>
                <w:tcPr>
                  <w:tcW w:w="1977" w:type="dxa"/>
                  <w:vMerge w:val="continue"/>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21</w:t>
                  </w:r>
                </w:p>
              </w:tc>
              <w:tc>
                <w:tcPr>
                  <w:tcW w:w="1732" w:type="dxa"/>
                  <w:vAlign w:val="center"/>
                </w:tcPr>
                <w:p>
                  <w:pPr>
                    <w:jc w:val="center"/>
                    <w:textAlignment w:val="center"/>
                    <w:rPr>
                      <w:rFonts w:ascii="宋体" w:hAnsi="宋体" w:eastAsia="宋体"/>
                      <w:szCs w:val="21"/>
                    </w:rPr>
                  </w:pPr>
                  <w:r>
                    <w:rPr>
                      <w:rFonts w:hint="eastAsia" w:ascii="宋体" w:hAnsi="宋体" w:eastAsia="宋体"/>
                      <w:szCs w:val="21"/>
                    </w:rPr>
                    <w:t>2010007705</w:t>
                  </w:r>
                </w:p>
              </w:tc>
              <w:tc>
                <w:tcPr>
                  <w:tcW w:w="955" w:type="dxa"/>
                  <w:vAlign w:val="center"/>
                </w:tcPr>
                <w:p>
                  <w:pPr>
                    <w:jc w:val="center"/>
                    <w:textAlignment w:val="center"/>
                    <w:rPr>
                      <w:rFonts w:ascii="宋体" w:hAnsi="宋体" w:eastAsia="宋体"/>
                      <w:szCs w:val="21"/>
                    </w:rPr>
                  </w:pPr>
                  <w:r>
                    <w:rPr>
                      <w:rFonts w:hint="eastAsia" w:ascii="宋体" w:hAnsi="宋体" w:eastAsia="宋体"/>
                      <w:szCs w:val="21"/>
                    </w:rPr>
                    <w:t>上海三菱LEHY</w:t>
                  </w:r>
                </w:p>
              </w:tc>
              <w:tc>
                <w:tcPr>
                  <w:tcW w:w="1118" w:type="dxa"/>
                  <w:vAlign w:val="center"/>
                </w:tcPr>
                <w:p>
                  <w:pPr>
                    <w:jc w:val="center"/>
                    <w:textAlignment w:val="center"/>
                    <w:rPr>
                      <w:rFonts w:ascii="宋体" w:hAnsi="宋体" w:eastAsia="宋体"/>
                      <w:szCs w:val="21"/>
                    </w:rPr>
                  </w:pPr>
                  <w:r>
                    <w:rPr>
                      <w:rFonts w:hint="eastAsia" w:ascii="宋体" w:hAnsi="宋体" w:eastAsia="宋体"/>
                      <w:szCs w:val="21"/>
                    </w:rPr>
                    <w:t>6层/6站</w:t>
                  </w:r>
                </w:p>
              </w:tc>
              <w:tc>
                <w:tcPr>
                  <w:tcW w:w="1964" w:type="dxa"/>
                  <w:vMerge w:val="continue"/>
                  <w:vAlign w:val="center"/>
                </w:tcPr>
                <w:p>
                  <w:pPr>
                    <w:jc w:val="center"/>
                    <w:rPr>
                      <w:rFonts w:ascii="宋体" w:hAnsi="宋体" w:eastAsia="宋体"/>
                      <w:szCs w:val="21"/>
                    </w:rPr>
                  </w:pPr>
                </w:p>
              </w:tc>
              <w:tc>
                <w:tcPr>
                  <w:tcW w:w="1131" w:type="dxa"/>
                  <w:vAlign w:val="center"/>
                </w:tcPr>
                <w:p>
                  <w:pPr>
                    <w:jc w:val="center"/>
                    <w:textAlignment w:val="center"/>
                    <w:rPr>
                      <w:rFonts w:ascii="宋体" w:hAnsi="宋体" w:eastAsia="宋体"/>
                      <w:szCs w:val="21"/>
                    </w:rPr>
                  </w:pPr>
                  <w:r>
                    <w:rPr>
                      <w:rFonts w:hint="eastAsia" w:ascii="宋体" w:hAnsi="宋体" w:eastAsia="宋体"/>
                      <w:szCs w:val="21"/>
                    </w:rPr>
                    <w:t>7800.00</w:t>
                  </w:r>
                </w:p>
              </w:tc>
              <w:tc>
                <w:tcPr>
                  <w:tcW w:w="1977" w:type="dxa"/>
                  <w:vMerge w:val="continue"/>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22</w:t>
                  </w:r>
                </w:p>
              </w:tc>
              <w:tc>
                <w:tcPr>
                  <w:tcW w:w="1732" w:type="dxa"/>
                  <w:vAlign w:val="center"/>
                </w:tcPr>
                <w:p>
                  <w:pPr>
                    <w:jc w:val="center"/>
                    <w:textAlignment w:val="center"/>
                    <w:rPr>
                      <w:rFonts w:ascii="宋体" w:hAnsi="宋体" w:eastAsia="宋体"/>
                      <w:szCs w:val="21"/>
                    </w:rPr>
                  </w:pPr>
                  <w:r>
                    <w:rPr>
                      <w:rFonts w:hint="eastAsia" w:ascii="宋体" w:hAnsi="宋体" w:eastAsia="宋体"/>
                      <w:szCs w:val="21"/>
                    </w:rPr>
                    <w:t>2010007706</w:t>
                  </w:r>
                </w:p>
              </w:tc>
              <w:tc>
                <w:tcPr>
                  <w:tcW w:w="955" w:type="dxa"/>
                  <w:vAlign w:val="center"/>
                </w:tcPr>
                <w:p>
                  <w:pPr>
                    <w:jc w:val="center"/>
                    <w:textAlignment w:val="center"/>
                    <w:rPr>
                      <w:rFonts w:ascii="宋体" w:hAnsi="宋体" w:eastAsia="宋体"/>
                      <w:szCs w:val="21"/>
                    </w:rPr>
                  </w:pPr>
                  <w:r>
                    <w:rPr>
                      <w:rFonts w:hint="eastAsia" w:ascii="宋体" w:hAnsi="宋体" w:eastAsia="宋体"/>
                      <w:szCs w:val="21"/>
                    </w:rPr>
                    <w:t>上海三菱LEHY</w:t>
                  </w:r>
                </w:p>
              </w:tc>
              <w:tc>
                <w:tcPr>
                  <w:tcW w:w="1118" w:type="dxa"/>
                  <w:vAlign w:val="center"/>
                </w:tcPr>
                <w:p>
                  <w:pPr>
                    <w:jc w:val="center"/>
                    <w:textAlignment w:val="center"/>
                    <w:rPr>
                      <w:rFonts w:ascii="宋体" w:hAnsi="宋体" w:eastAsia="宋体"/>
                      <w:szCs w:val="21"/>
                    </w:rPr>
                  </w:pPr>
                  <w:r>
                    <w:rPr>
                      <w:rFonts w:hint="eastAsia" w:ascii="宋体" w:hAnsi="宋体" w:eastAsia="宋体"/>
                      <w:szCs w:val="21"/>
                    </w:rPr>
                    <w:t>5层/5站</w:t>
                  </w:r>
                </w:p>
              </w:tc>
              <w:tc>
                <w:tcPr>
                  <w:tcW w:w="1964" w:type="dxa"/>
                  <w:vMerge w:val="continue"/>
                  <w:vAlign w:val="center"/>
                </w:tcPr>
                <w:p>
                  <w:pPr>
                    <w:jc w:val="center"/>
                    <w:rPr>
                      <w:rFonts w:ascii="宋体" w:hAnsi="宋体" w:eastAsia="宋体"/>
                      <w:szCs w:val="21"/>
                    </w:rPr>
                  </w:pPr>
                </w:p>
              </w:tc>
              <w:tc>
                <w:tcPr>
                  <w:tcW w:w="1131" w:type="dxa"/>
                  <w:vAlign w:val="center"/>
                </w:tcPr>
                <w:p>
                  <w:pPr>
                    <w:jc w:val="center"/>
                    <w:textAlignment w:val="center"/>
                    <w:rPr>
                      <w:rFonts w:ascii="宋体" w:hAnsi="宋体" w:eastAsia="宋体"/>
                      <w:szCs w:val="21"/>
                    </w:rPr>
                  </w:pPr>
                  <w:r>
                    <w:rPr>
                      <w:rFonts w:hint="eastAsia" w:ascii="宋体" w:hAnsi="宋体" w:eastAsia="宋体"/>
                      <w:szCs w:val="21"/>
                    </w:rPr>
                    <w:t>7800.00</w:t>
                  </w:r>
                </w:p>
              </w:tc>
              <w:tc>
                <w:tcPr>
                  <w:tcW w:w="1977" w:type="dxa"/>
                  <w:vMerge w:val="continue"/>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23</w:t>
                  </w:r>
                </w:p>
              </w:tc>
              <w:tc>
                <w:tcPr>
                  <w:tcW w:w="1732" w:type="dxa"/>
                  <w:vAlign w:val="center"/>
                </w:tcPr>
                <w:p>
                  <w:pPr>
                    <w:jc w:val="center"/>
                    <w:textAlignment w:val="center"/>
                    <w:rPr>
                      <w:rFonts w:ascii="宋体" w:hAnsi="宋体" w:eastAsia="宋体"/>
                      <w:szCs w:val="21"/>
                    </w:rPr>
                  </w:pPr>
                  <w:r>
                    <w:rPr>
                      <w:rFonts w:hint="eastAsia" w:ascii="宋体" w:hAnsi="宋体" w:eastAsia="宋体"/>
                      <w:szCs w:val="21"/>
                    </w:rPr>
                    <w:t>2010007707</w:t>
                  </w:r>
                </w:p>
              </w:tc>
              <w:tc>
                <w:tcPr>
                  <w:tcW w:w="955" w:type="dxa"/>
                  <w:vAlign w:val="center"/>
                </w:tcPr>
                <w:p>
                  <w:pPr>
                    <w:jc w:val="center"/>
                    <w:textAlignment w:val="center"/>
                    <w:rPr>
                      <w:rFonts w:ascii="宋体" w:hAnsi="宋体" w:eastAsia="宋体"/>
                      <w:szCs w:val="21"/>
                    </w:rPr>
                  </w:pPr>
                  <w:r>
                    <w:rPr>
                      <w:rFonts w:hint="eastAsia" w:ascii="宋体" w:hAnsi="宋体" w:eastAsia="宋体"/>
                      <w:szCs w:val="21"/>
                    </w:rPr>
                    <w:t>上海三菱LEHY</w:t>
                  </w:r>
                </w:p>
              </w:tc>
              <w:tc>
                <w:tcPr>
                  <w:tcW w:w="1118" w:type="dxa"/>
                  <w:vAlign w:val="center"/>
                </w:tcPr>
                <w:p>
                  <w:pPr>
                    <w:jc w:val="center"/>
                    <w:textAlignment w:val="center"/>
                    <w:rPr>
                      <w:rFonts w:ascii="宋体" w:hAnsi="宋体" w:eastAsia="宋体"/>
                      <w:szCs w:val="21"/>
                    </w:rPr>
                  </w:pPr>
                  <w:r>
                    <w:rPr>
                      <w:rFonts w:hint="eastAsia" w:ascii="宋体" w:hAnsi="宋体" w:eastAsia="宋体"/>
                      <w:szCs w:val="21"/>
                    </w:rPr>
                    <w:t>5层/5站</w:t>
                  </w:r>
                </w:p>
              </w:tc>
              <w:tc>
                <w:tcPr>
                  <w:tcW w:w="1964" w:type="dxa"/>
                  <w:vMerge w:val="continue"/>
                  <w:vAlign w:val="center"/>
                </w:tcPr>
                <w:p>
                  <w:pPr>
                    <w:jc w:val="center"/>
                    <w:rPr>
                      <w:rFonts w:ascii="宋体" w:hAnsi="宋体" w:eastAsia="宋体"/>
                      <w:szCs w:val="21"/>
                    </w:rPr>
                  </w:pPr>
                </w:p>
              </w:tc>
              <w:tc>
                <w:tcPr>
                  <w:tcW w:w="1131" w:type="dxa"/>
                  <w:vAlign w:val="center"/>
                </w:tcPr>
                <w:p>
                  <w:pPr>
                    <w:jc w:val="center"/>
                    <w:textAlignment w:val="center"/>
                    <w:rPr>
                      <w:rFonts w:ascii="宋体" w:hAnsi="宋体" w:eastAsia="宋体"/>
                      <w:szCs w:val="21"/>
                    </w:rPr>
                  </w:pPr>
                  <w:r>
                    <w:rPr>
                      <w:rFonts w:hint="eastAsia" w:ascii="宋体" w:hAnsi="宋体" w:eastAsia="宋体"/>
                      <w:szCs w:val="21"/>
                    </w:rPr>
                    <w:t>7800.00</w:t>
                  </w:r>
                </w:p>
              </w:tc>
              <w:tc>
                <w:tcPr>
                  <w:tcW w:w="1977" w:type="dxa"/>
                  <w:vMerge w:val="continue"/>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24</w:t>
                  </w:r>
                </w:p>
              </w:tc>
              <w:tc>
                <w:tcPr>
                  <w:tcW w:w="1732" w:type="dxa"/>
                  <w:vAlign w:val="center"/>
                </w:tcPr>
                <w:p>
                  <w:pPr>
                    <w:jc w:val="center"/>
                    <w:textAlignment w:val="center"/>
                    <w:rPr>
                      <w:rFonts w:ascii="宋体" w:hAnsi="宋体" w:eastAsia="宋体"/>
                      <w:szCs w:val="21"/>
                    </w:rPr>
                  </w:pPr>
                  <w:r>
                    <w:rPr>
                      <w:rFonts w:hint="eastAsia" w:ascii="宋体" w:hAnsi="宋体" w:eastAsia="宋体"/>
                      <w:szCs w:val="21"/>
                    </w:rPr>
                    <w:t>2017008509</w:t>
                  </w:r>
                </w:p>
              </w:tc>
              <w:tc>
                <w:tcPr>
                  <w:tcW w:w="955" w:type="dxa"/>
                  <w:vAlign w:val="center"/>
                </w:tcPr>
                <w:p>
                  <w:pPr>
                    <w:jc w:val="center"/>
                    <w:textAlignment w:val="center"/>
                    <w:rPr>
                      <w:rFonts w:ascii="宋体" w:hAnsi="宋体" w:eastAsia="宋体"/>
                      <w:szCs w:val="21"/>
                    </w:rPr>
                  </w:pPr>
                  <w:r>
                    <w:rPr>
                      <w:rFonts w:hint="eastAsia" w:ascii="宋体" w:hAnsi="宋体" w:eastAsia="宋体"/>
                      <w:szCs w:val="21"/>
                    </w:rPr>
                    <w:t>上海三菱ELENESSA</w:t>
                  </w:r>
                </w:p>
              </w:tc>
              <w:tc>
                <w:tcPr>
                  <w:tcW w:w="1118" w:type="dxa"/>
                  <w:vAlign w:val="center"/>
                </w:tcPr>
                <w:p>
                  <w:pPr>
                    <w:jc w:val="center"/>
                    <w:textAlignment w:val="center"/>
                    <w:rPr>
                      <w:rFonts w:ascii="宋体" w:hAnsi="宋体" w:eastAsia="宋体"/>
                      <w:szCs w:val="21"/>
                    </w:rPr>
                  </w:pPr>
                  <w:r>
                    <w:rPr>
                      <w:rFonts w:hint="eastAsia" w:ascii="宋体" w:hAnsi="宋体" w:eastAsia="宋体"/>
                      <w:szCs w:val="21"/>
                    </w:rPr>
                    <w:t>2层/2站</w:t>
                  </w:r>
                </w:p>
              </w:tc>
              <w:tc>
                <w:tcPr>
                  <w:tcW w:w="1964" w:type="dxa"/>
                  <w:vMerge w:val="continue"/>
                  <w:vAlign w:val="center"/>
                </w:tcPr>
                <w:p>
                  <w:pPr>
                    <w:jc w:val="center"/>
                    <w:rPr>
                      <w:rFonts w:ascii="宋体" w:hAnsi="宋体" w:eastAsia="宋体"/>
                      <w:szCs w:val="21"/>
                    </w:rPr>
                  </w:pPr>
                </w:p>
              </w:tc>
              <w:tc>
                <w:tcPr>
                  <w:tcW w:w="1131" w:type="dxa"/>
                  <w:vAlign w:val="center"/>
                </w:tcPr>
                <w:p>
                  <w:pPr>
                    <w:jc w:val="center"/>
                    <w:textAlignment w:val="center"/>
                    <w:rPr>
                      <w:rFonts w:ascii="宋体" w:hAnsi="宋体" w:eastAsia="宋体"/>
                      <w:szCs w:val="21"/>
                    </w:rPr>
                  </w:pPr>
                  <w:r>
                    <w:rPr>
                      <w:rFonts w:hint="eastAsia" w:ascii="宋体" w:hAnsi="宋体" w:eastAsia="宋体"/>
                      <w:szCs w:val="21"/>
                    </w:rPr>
                    <w:t>6000.00</w:t>
                  </w:r>
                </w:p>
              </w:tc>
              <w:tc>
                <w:tcPr>
                  <w:tcW w:w="1977" w:type="dxa"/>
                  <w:vMerge w:val="continue"/>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25</w:t>
                  </w:r>
                </w:p>
              </w:tc>
              <w:tc>
                <w:tcPr>
                  <w:tcW w:w="1732" w:type="dxa"/>
                  <w:vAlign w:val="center"/>
                </w:tcPr>
                <w:p>
                  <w:pPr>
                    <w:jc w:val="center"/>
                    <w:textAlignment w:val="center"/>
                    <w:rPr>
                      <w:rFonts w:ascii="宋体" w:hAnsi="宋体" w:eastAsia="宋体"/>
                      <w:szCs w:val="21"/>
                    </w:rPr>
                  </w:pPr>
                  <w:r>
                    <w:rPr>
                      <w:rFonts w:hint="eastAsia" w:ascii="宋体" w:hAnsi="宋体" w:eastAsia="宋体"/>
                      <w:szCs w:val="21"/>
                    </w:rPr>
                    <w:t>2004004029</w:t>
                  </w:r>
                </w:p>
              </w:tc>
              <w:tc>
                <w:tcPr>
                  <w:tcW w:w="955" w:type="dxa"/>
                  <w:vAlign w:val="center"/>
                </w:tcPr>
                <w:p>
                  <w:pPr>
                    <w:jc w:val="center"/>
                    <w:textAlignment w:val="center"/>
                    <w:rPr>
                      <w:rFonts w:ascii="宋体" w:hAnsi="宋体" w:eastAsia="宋体"/>
                      <w:szCs w:val="21"/>
                    </w:rPr>
                  </w:pPr>
                  <w:r>
                    <w:rPr>
                      <w:rFonts w:hint="eastAsia" w:ascii="宋体" w:hAnsi="宋体" w:eastAsia="宋体"/>
                      <w:szCs w:val="21"/>
                    </w:rPr>
                    <w:t>日立NPX</w:t>
                  </w:r>
                </w:p>
              </w:tc>
              <w:tc>
                <w:tcPr>
                  <w:tcW w:w="1118" w:type="dxa"/>
                  <w:vAlign w:val="center"/>
                </w:tcPr>
                <w:p>
                  <w:pPr>
                    <w:jc w:val="center"/>
                    <w:textAlignment w:val="center"/>
                    <w:rPr>
                      <w:rFonts w:ascii="宋体" w:hAnsi="宋体" w:eastAsia="宋体"/>
                      <w:szCs w:val="21"/>
                    </w:rPr>
                  </w:pPr>
                  <w:r>
                    <w:rPr>
                      <w:rFonts w:hint="eastAsia" w:ascii="宋体" w:hAnsi="宋体" w:eastAsia="宋体"/>
                      <w:szCs w:val="21"/>
                    </w:rPr>
                    <w:t>8层/8站</w:t>
                  </w:r>
                </w:p>
              </w:tc>
              <w:tc>
                <w:tcPr>
                  <w:tcW w:w="1964" w:type="dxa"/>
                  <w:vAlign w:val="center"/>
                </w:tcPr>
                <w:p>
                  <w:pPr>
                    <w:jc w:val="center"/>
                    <w:rPr>
                      <w:rFonts w:ascii="宋体" w:hAnsi="宋体" w:eastAsia="宋体"/>
                      <w:szCs w:val="21"/>
                    </w:rPr>
                  </w:pPr>
                  <w:r>
                    <w:rPr>
                      <w:rFonts w:hint="eastAsia" w:ascii="宋体" w:hAnsi="宋体" w:eastAsia="宋体"/>
                      <w:szCs w:val="21"/>
                    </w:rPr>
                    <w:t>龙岗区清林中路33号</w:t>
                  </w:r>
                </w:p>
              </w:tc>
              <w:tc>
                <w:tcPr>
                  <w:tcW w:w="1131" w:type="dxa"/>
                  <w:vAlign w:val="center"/>
                </w:tcPr>
                <w:p>
                  <w:pPr>
                    <w:jc w:val="center"/>
                    <w:textAlignment w:val="center"/>
                    <w:rPr>
                      <w:rFonts w:ascii="宋体" w:hAnsi="宋体" w:eastAsia="宋体"/>
                      <w:szCs w:val="21"/>
                    </w:rPr>
                  </w:pPr>
                  <w:r>
                    <w:rPr>
                      <w:rFonts w:hint="eastAsia" w:ascii="宋体" w:hAnsi="宋体" w:eastAsia="宋体"/>
                      <w:szCs w:val="21"/>
                    </w:rPr>
                    <w:t>8400.00</w:t>
                  </w:r>
                </w:p>
              </w:tc>
              <w:tc>
                <w:tcPr>
                  <w:tcW w:w="1977" w:type="dxa"/>
                  <w:vMerge w:val="restart"/>
                  <w:vAlign w:val="center"/>
                </w:tcPr>
                <w:p>
                  <w:pPr>
                    <w:jc w:val="center"/>
                    <w:textAlignment w:val="center"/>
                    <w:rPr>
                      <w:rFonts w:ascii="宋体" w:hAnsi="宋体" w:eastAsia="宋体"/>
                      <w:szCs w:val="21"/>
                    </w:rPr>
                  </w:pPr>
                  <w:r>
                    <w:rPr>
                      <w:rFonts w:hint="eastAsia" w:ascii="宋体" w:hAnsi="宋体" w:eastAsia="宋体"/>
                      <w:szCs w:val="21"/>
                    </w:rPr>
                    <w:t>2025.3.31-2026.3.30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13"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26</w:t>
                  </w:r>
                </w:p>
              </w:tc>
              <w:tc>
                <w:tcPr>
                  <w:tcW w:w="1732" w:type="dxa"/>
                  <w:vAlign w:val="center"/>
                </w:tcPr>
                <w:p>
                  <w:pPr>
                    <w:jc w:val="center"/>
                    <w:textAlignment w:val="center"/>
                    <w:rPr>
                      <w:rFonts w:ascii="宋体" w:hAnsi="宋体" w:eastAsia="宋体"/>
                      <w:szCs w:val="21"/>
                    </w:rPr>
                  </w:pPr>
                  <w:r>
                    <w:rPr>
                      <w:rFonts w:hint="eastAsia" w:ascii="宋体" w:hAnsi="宋体" w:eastAsia="宋体"/>
                      <w:szCs w:val="21"/>
                    </w:rPr>
                    <w:t>2004004030</w:t>
                  </w:r>
                </w:p>
              </w:tc>
              <w:tc>
                <w:tcPr>
                  <w:tcW w:w="955" w:type="dxa"/>
                  <w:vAlign w:val="center"/>
                </w:tcPr>
                <w:p>
                  <w:pPr>
                    <w:jc w:val="center"/>
                    <w:textAlignment w:val="center"/>
                    <w:rPr>
                      <w:rFonts w:ascii="宋体" w:hAnsi="宋体" w:eastAsia="宋体"/>
                      <w:szCs w:val="21"/>
                    </w:rPr>
                  </w:pPr>
                  <w:r>
                    <w:rPr>
                      <w:rFonts w:hint="eastAsia" w:ascii="宋体" w:hAnsi="宋体" w:eastAsia="宋体"/>
                      <w:szCs w:val="21"/>
                    </w:rPr>
                    <w:t>日立NPX</w:t>
                  </w:r>
                </w:p>
              </w:tc>
              <w:tc>
                <w:tcPr>
                  <w:tcW w:w="1118" w:type="dxa"/>
                  <w:vAlign w:val="center"/>
                </w:tcPr>
                <w:p>
                  <w:pPr>
                    <w:jc w:val="center"/>
                    <w:textAlignment w:val="center"/>
                    <w:rPr>
                      <w:rFonts w:ascii="宋体" w:hAnsi="宋体" w:eastAsia="宋体"/>
                      <w:szCs w:val="21"/>
                    </w:rPr>
                  </w:pPr>
                  <w:r>
                    <w:rPr>
                      <w:rFonts w:hint="eastAsia" w:ascii="宋体" w:hAnsi="宋体" w:eastAsia="宋体"/>
                      <w:szCs w:val="21"/>
                    </w:rPr>
                    <w:t>9层/9站</w:t>
                  </w:r>
                </w:p>
              </w:tc>
              <w:tc>
                <w:tcPr>
                  <w:tcW w:w="1964" w:type="dxa"/>
                  <w:vAlign w:val="center"/>
                </w:tcPr>
                <w:p>
                  <w:pPr>
                    <w:jc w:val="center"/>
                    <w:rPr>
                      <w:rFonts w:ascii="宋体" w:hAnsi="宋体" w:eastAsia="宋体"/>
                      <w:szCs w:val="21"/>
                    </w:rPr>
                  </w:pPr>
                  <w:r>
                    <w:rPr>
                      <w:rFonts w:hint="eastAsia" w:ascii="宋体" w:hAnsi="宋体" w:eastAsia="宋体"/>
                      <w:szCs w:val="21"/>
                    </w:rPr>
                    <w:t>龙岗区清林中路33号</w:t>
                  </w:r>
                </w:p>
              </w:tc>
              <w:tc>
                <w:tcPr>
                  <w:tcW w:w="1131" w:type="dxa"/>
                  <w:vAlign w:val="center"/>
                </w:tcPr>
                <w:p>
                  <w:pPr>
                    <w:jc w:val="center"/>
                    <w:textAlignment w:val="center"/>
                    <w:rPr>
                      <w:rFonts w:ascii="宋体" w:hAnsi="宋体" w:eastAsia="宋体"/>
                      <w:szCs w:val="21"/>
                    </w:rPr>
                  </w:pPr>
                  <w:r>
                    <w:rPr>
                      <w:rFonts w:hint="eastAsia" w:ascii="宋体" w:hAnsi="宋体" w:eastAsia="宋体"/>
                      <w:szCs w:val="21"/>
                    </w:rPr>
                    <w:t>8400.00</w:t>
                  </w:r>
                </w:p>
              </w:tc>
              <w:tc>
                <w:tcPr>
                  <w:tcW w:w="1977" w:type="dxa"/>
                  <w:vMerge w:val="continue"/>
                  <w:vAlign w:val="center"/>
                </w:tcPr>
                <w:p>
                  <w:pPr>
                    <w:jc w:val="center"/>
                    <w:textAlignment w:val="center"/>
                    <w:rPr>
                      <w:rFonts w:ascii="宋体" w:hAnsi="宋体" w:eastAsia="宋体"/>
                      <w:szCs w:val="21"/>
                    </w:rPr>
                  </w:pPr>
                </w:p>
              </w:tc>
            </w:tr>
          </w:tbl>
          <w:p>
            <w:pPr>
              <w:spacing w:line="360" w:lineRule="auto"/>
              <w:rPr>
                <w:rFonts w:ascii="宋体" w:hAnsi="宋体" w:eastAsia="宋体"/>
                <w:sz w:val="24"/>
              </w:rPr>
            </w:pPr>
          </w:p>
        </w:tc>
      </w:tr>
    </w:tbl>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bookmarkStart w:id="74" w:name="_Toc167352557"/>
      <w:bookmarkStart w:id="75" w:name="_Toc150794106"/>
      <w:r>
        <w:rPr>
          <w:rFonts w:hint="eastAsia" w:ascii="宋体" w:hAnsi="宋体" w:eastAsia="宋体" w:cs="宋体"/>
          <w:kern w:val="0"/>
          <w:szCs w:val="21"/>
          <w:lang w:bidi="en-US"/>
        </w:rPr>
        <w:t>2.服务要求：</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（1）应当具备市特种设备安全监督管理部门核发的相应许可。</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（2）接到故障通知后，应当立即赶赴现场进行处理；电梯困人时，应当在30分钟内（此时间最长不得超过30分钟）抵达现场,一般故障40分钟内到达现场。</w:t>
      </w:r>
    </w:p>
    <w:p>
      <w:pPr>
        <w:widowControl/>
        <w:shd w:val="clear" w:color="auto" w:fill="FFFFFF"/>
        <w:tabs>
          <w:tab w:val="left" w:pos="426"/>
          <w:tab w:val="left" w:pos="1021"/>
        </w:tabs>
        <w:adjustRightInd w:val="0"/>
        <w:snapToGrid w:val="0"/>
        <w:spacing w:line="276" w:lineRule="auto"/>
        <w:ind w:firstLine="422" w:firstLineChars="200"/>
        <w:rPr>
          <w:rFonts w:ascii="宋体" w:hAnsi="宋体" w:eastAsia="宋体" w:cs="宋体"/>
          <w:b/>
          <w:bCs/>
          <w:kern w:val="0"/>
          <w:szCs w:val="21"/>
          <w:lang w:bidi="en-US"/>
        </w:rPr>
      </w:pPr>
      <w:r>
        <w:rPr>
          <w:rFonts w:hint="eastAsia" w:ascii="宋体" w:hAnsi="宋体" w:eastAsia="宋体" w:cs="宋体"/>
          <w:b/>
          <w:bCs/>
          <w:kern w:val="0"/>
          <w:szCs w:val="21"/>
          <w:lang w:bidi="en-US"/>
        </w:rPr>
        <w:t>★（3）拟派项目人员架构（项目负责人除外）不得少于12人，且应当取得相应的《特种设备作业人员证》</w:t>
      </w:r>
      <w:r>
        <w:rPr>
          <w:rFonts w:hint="eastAsia" w:ascii="宋体" w:hAnsi="宋体" w:eastAsia="宋体" w:cs="宋体"/>
          <w:b/>
          <w:bCs/>
          <w:color w:val="FF0000"/>
          <w:kern w:val="0"/>
          <w:szCs w:val="21"/>
          <w:lang w:bidi="en-US"/>
        </w:rPr>
        <w:t>（在投标文件中提供人员证书复印件）</w:t>
      </w:r>
      <w:r>
        <w:rPr>
          <w:rFonts w:hint="eastAsia" w:ascii="宋体" w:hAnsi="宋体" w:eastAsia="宋体" w:cs="宋体"/>
          <w:b/>
          <w:bCs/>
          <w:kern w:val="0"/>
          <w:szCs w:val="21"/>
          <w:lang w:bidi="en-US"/>
        </w:rPr>
        <w:t>。</w:t>
      </w:r>
    </w:p>
    <w:p>
      <w:pPr>
        <w:widowControl/>
        <w:shd w:val="clear" w:color="auto" w:fill="FFFFFF"/>
        <w:tabs>
          <w:tab w:val="left" w:pos="426"/>
          <w:tab w:val="left" w:pos="1021"/>
        </w:tabs>
        <w:adjustRightInd w:val="0"/>
        <w:snapToGrid w:val="0"/>
        <w:spacing w:line="276" w:lineRule="auto"/>
        <w:ind w:firstLine="422" w:firstLineChars="200"/>
        <w:rPr>
          <w:rFonts w:ascii="宋体" w:hAnsi="宋体" w:eastAsia="宋体" w:cs="宋体"/>
          <w:b/>
          <w:bCs/>
          <w:kern w:val="0"/>
          <w:szCs w:val="21"/>
          <w:lang w:bidi="en-US"/>
        </w:rPr>
      </w:pPr>
      <w:r>
        <w:rPr>
          <w:rFonts w:hint="eastAsia" w:ascii="宋体" w:hAnsi="宋体" w:eastAsia="宋体" w:cs="宋体"/>
          <w:b/>
          <w:bCs/>
          <w:kern w:val="0"/>
          <w:szCs w:val="21"/>
          <w:lang w:bidi="en-US"/>
        </w:rPr>
        <w:t>★（4）现场作业人员不得少于两人，且应当取得相应的《特种设备作业人员证》</w:t>
      </w:r>
      <w:bookmarkStart w:id="76" w:name="OLE_LINK1"/>
      <w:r>
        <w:rPr>
          <w:rFonts w:hint="eastAsia" w:ascii="宋体" w:hAnsi="宋体" w:eastAsia="宋体" w:cs="宋体"/>
          <w:b/>
          <w:bCs/>
          <w:color w:val="FF0000"/>
          <w:kern w:val="0"/>
          <w:szCs w:val="21"/>
          <w:lang w:bidi="en-US"/>
        </w:rPr>
        <w:t>（在投标文件中提供人员证书复印件）</w:t>
      </w:r>
      <w:bookmarkEnd w:id="76"/>
      <w:r>
        <w:rPr>
          <w:rFonts w:hint="eastAsia" w:ascii="宋体" w:hAnsi="宋体" w:eastAsia="宋体" w:cs="宋体"/>
          <w:b/>
          <w:bCs/>
          <w:kern w:val="0"/>
          <w:szCs w:val="21"/>
          <w:lang w:bidi="en-US"/>
        </w:rPr>
        <w:t>。</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（5）作业中应当负责落实现场安全防护措施，保证作业安全。</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（6）提供本合同电梯保养的半月、季度、半年、年度维护保养计划及具体实施时间表，并按时进行保养服务，每次保养时间不少于两小时。</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（7）根据采购人的故障统计记录提出故障分析报告，报告中应包含电梯故障的整改措施和预防措施、有关电梯使用管理的合理化建议。</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（8）当需要完成合同之外所需的重大维修项目时，中标人应及时将相关工程内容和报价提供给采购人。</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（9）对所维护保养电梯的安全运行负责，保障设备整机及零部件完整无损。</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（10）建立回访制度（包括工作人员服务态度、维修质量、是否按照规定实施维护保养等）。</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（11）由企业电梯安全检测员每半年对电梯进行一次安全检测（检测员须持检验员证），并提出相应整改报告。</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（12）应当在电梯安全检验合格有效期届满前1个月，向电梯检验检测机构提出定期检验申请。配合电梯检验检测机构对电梯的定期检验，并保证通过电梯检验检测机构对电梯的定期检验合格。</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（13）协助采购人制定紧急救援预案并参与电梯的紧急救援工作,积极参与电梯安全管理的各项活动。</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（14）如遇召开大型活动或重要检查时，提前一天对电梯进行检查保养，并于领导参观、视察当天派技术人员驻守上述大厦，确保电梯安全稳定运行。</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（15）应当妥善保管电梯图纸及相关资料，并在合同终止后交给采购人。</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（16）不得以任何形式分包、转包。</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（17）当电梯存在安全隐患时，中标人应及时采取停梯措施并立刻通知采购人停用。</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（18）在维修、保养、检查作业时，接受采购人工作人员的全程监督。作业工程单须由采购人。</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（19）中标人须按照投标时提供的《电梯配件易损件清单》，在采购人指定地点建立备品备件库。</w:t>
      </w:r>
    </w:p>
    <w:p>
      <w:pPr>
        <w:widowControl/>
        <w:shd w:val="clear" w:color="auto" w:fill="FFFFFF"/>
        <w:tabs>
          <w:tab w:val="left" w:pos="426"/>
          <w:tab w:val="left" w:pos="1021"/>
        </w:tabs>
        <w:adjustRightInd w:val="0"/>
        <w:snapToGrid w:val="0"/>
        <w:spacing w:line="276" w:lineRule="auto"/>
        <w:ind w:firstLine="422" w:firstLineChars="200"/>
        <w:rPr>
          <w:rFonts w:ascii="宋体" w:hAnsi="宋体" w:eastAsia="宋体" w:cs="宋体"/>
          <w:b/>
          <w:bCs/>
          <w:kern w:val="0"/>
          <w:szCs w:val="21"/>
          <w:lang w:bidi="en-US"/>
        </w:rPr>
      </w:pPr>
      <w:r>
        <w:rPr>
          <w:rFonts w:hint="eastAsia" w:ascii="宋体" w:hAnsi="宋体" w:eastAsia="宋体" w:cs="宋体"/>
          <w:b/>
          <w:bCs/>
          <w:kern w:val="0"/>
          <w:szCs w:val="21"/>
          <w:lang w:bidi="en-US"/>
        </w:rPr>
        <w:t>★3.实质性要求和条件：</w:t>
      </w:r>
    </w:p>
    <w:p>
      <w:pPr>
        <w:widowControl/>
        <w:shd w:val="clear" w:color="auto" w:fill="FFFFFF"/>
        <w:tabs>
          <w:tab w:val="left" w:pos="426"/>
          <w:tab w:val="left" w:pos="1021"/>
        </w:tabs>
        <w:adjustRightInd w:val="0"/>
        <w:snapToGrid w:val="0"/>
        <w:spacing w:line="276" w:lineRule="auto"/>
        <w:ind w:firstLine="422" w:firstLineChars="200"/>
        <w:rPr>
          <w:rFonts w:ascii="宋体" w:hAnsi="宋体" w:eastAsia="宋体" w:cs="宋体"/>
          <w:b/>
          <w:bCs/>
          <w:kern w:val="0"/>
          <w:szCs w:val="21"/>
          <w:lang w:bidi="en-US"/>
        </w:rPr>
      </w:pPr>
      <w:r>
        <w:rPr>
          <w:rFonts w:hint="eastAsia" w:ascii="宋体" w:hAnsi="宋体" w:eastAsia="宋体" w:cs="宋体"/>
          <w:b/>
          <w:bCs/>
          <w:kern w:val="0"/>
          <w:szCs w:val="21"/>
          <w:lang w:bidi="en-US"/>
        </w:rPr>
        <w:t>（1）中标人提供全年365天24小时紧急救援服务。</w:t>
      </w:r>
    </w:p>
    <w:p>
      <w:pPr>
        <w:widowControl/>
        <w:shd w:val="clear" w:color="auto" w:fill="FFFFFF"/>
        <w:tabs>
          <w:tab w:val="left" w:pos="426"/>
          <w:tab w:val="left" w:pos="1021"/>
        </w:tabs>
        <w:adjustRightInd w:val="0"/>
        <w:snapToGrid w:val="0"/>
        <w:spacing w:line="276" w:lineRule="auto"/>
        <w:ind w:firstLine="422" w:firstLineChars="200"/>
        <w:rPr>
          <w:rFonts w:ascii="宋体" w:hAnsi="宋体" w:eastAsia="宋体" w:cs="宋体"/>
          <w:b/>
          <w:bCs/>
          <w:kern w:val="0"/>
          <w:szCs w:val="21"/>
          <w:lang w:bidi="en-US"/>
        </w:rPr>
      </w:pPr>
      <w:r>
        <w:rPr>
          <w:rFonts w:hint="eastAsia" w:ascii="宋体" w:hAnsi="宋体" w:eastAsia="宋体" w:cs="宋体"/>
          <w:b/>
          <w:bCs/>
          <w:kern w:val="0"/>
          <w:szCs w:val="21"/>
          <w:lang w:bidi="en-US"/>
        </w:rPr>
        <w:t>（2）材料及零配件费用在400元以下的，由中标人承担。400元（含本数）以上的，由采购人承担。中标人在维护保养电梯时，对任何需要采购人支付费用的工程项目及零件更换，应列出维修项目、维修费用，以不高于市场价的零配件报价形式发书面通知采购人（400元以内配件免费，不需报价），经采购人签字许可后，中标人方可进行。电梯年检费及5年一次的载荷试验（含制动试验）费用由采购人支付。</w:t>
      </w:r>
    </w:p>
    <w:p>
      <w:pPr>
        <w:widowControl/>
        <w:shd w:val="clear" w:color="auto" w:fill="FFFFFF"/>
        <w:tabs>
          <w:tab w:val="left" w:pos="426"/>
          <w:tab w:val="left" w:pos="1021"/>
        </w:tabs>
        <w:adjustRightInd w:val="0"/>
        <w:snapToGrid w:val="0"/>
        <w:spacing w:line="276" w:lineRule="auto"/>
        <w:ind w:firstLine="422" w:firstLineChars="200"/>
        <w:rPr>
          <w:rFonts w:ascii="宋体" w:hAnsi="宋体" w:eastAsia="宋体" w:cs="宋体"/>
          <w:b/>
          <w:bCs/>
          <w:kern w:val="0"/>
          <w:szCs w:val="21"/>
          <w:lang w:bidi="en-US"/>
        </w:rPr>
      </w:pPr>
      <w:r>
        <w:rPr>
          <w:rFonts w:hint="eastAsia" w:ascii="宋体" w:hAnsi="宋体" w:eastAsia="宋体" w:cs="宋体"/>
          <w:b/>
          <w:bCs/>
          <w:kern w:val="0"/>
          <w:szCs w:val="21"/>
          <w:lang w:bidi="en-US"/>
        </w:rPr>
        <w:t>（3）投标人具备的维修资质，满足设备类型：曳引驱动载货电梯和强制驱动载货电梯（含防爆电梯中的载货电梯）、液压驱动电梯。</w:t>
      </w:r>
    </w:p>
    <w:p/>
    <w:p>
      <w:pPr>
        <w:keepNext/>
        <w:keepLines/>
        <w:spacing w:before="260" w:after="260" w:line="360" w:lineRule="auto"/>
        <w:ind w:firstLine="482"/>
        <w:outlineLvl w:val="2"/>
        <w:rPr>
          <w:rFonts w:ascii="宋体" w:hAnsi="Times New Roman" w:eastAsia="宋体" w:cs="Times New Roman"/>
          <w:b/>
          <w:sz w:val="24"/>
          <w:szCs w:val="24"/>
        </w:rPr>
      </w:pPr>
      <w:r>
        <w:rPr>
          <w:rFonts w:hint="eastAsia" w:ascii="宋体" w:hAnsi="Times New Roman" w:eastAsia="宋体" w:cs="Times New Roman"/>
          <w:b/>
          <w:sz w:val="24"/>
          <w:szCs w:val="24"/>
        </w:rPr>
        <w:t>四、商务要求</w:t>
      </w:r>
      <w:bookmarkEnd w:id="74"/>
      <w:bookmarkEnd w:id="75"/>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1.签订合同日期：自中标（成交）通知书发出之日起30天。</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Times New Roman" w:eastAsia="宋体" w:cs="宋体"/>
          <w:kern w:val="0"/>
          <w:szCs w:val="24"/>
        </w:rPr>
        <w:t>★</w:t>
      </w:r>
      <w:r>
        <w:rPr>
          <w:rFonts w:hint="eastAsia" w:ascii="宋体" w:hAnsi="宋体" w:eastAsia="宋体" w:cs="宋体"/>
          <w:kern w:val="0"/>
          <w:szCs w:val="21"/>
          <w:lang w:bidi="en-US"/>
        </w:rPr>
        <w:t>2.合同期限：自合同签定之日起一年（合同具体起止时间详见“技术要求-1.具体内容和要求”）。该项目为长期服务项目，合同一年一签，但最长不超过3年，采购人根据中标人履约情况，评估确定是否续签第二年合同，第三年以此类推。</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3.服务地点：各电梯所在地点详见“技术要求-1.具体内容和要求”）。</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Times New Roman" w:eastAsia="宋体" w:cs="宋体"/>
          <w:kern w:val="0"/>
          <w:szCs w:val="24"/>
        </w:rPr>
        <w:t>★</w:t>
      </w:r>
      <w:r>
        <w:rPr>
          <w:rFonts w:hint="eastAsia" w:ascii="宋体" w:hAnsi="宋体" w:eastAsia="宋体" w:cs="宋体"/>
          <w:kern w:val="0"/>
          <w:szCs w:val="21"/>
          <w:lang w:bidi="en-US"/>
        </w:rPr>
        <w:t>4.付款方式：</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中标人按月履约完成维保服务后开具发票给采购人，采购人按月考核中标人电梯维保质量并填写《电梯维保考核表》作为支付中标人电梯维保费用依据，在收到中标人提供有效增值税专用发票后10个工作日内以银行转账的方式支付。当委托维保服务的电梯数量发生变化时，以实际结算为准。</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5.投标报价要求</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（2）投标人的投标报价，应是本项目招标范围和招标文件及合同条款上所列的各项内容中所述的全部，不得以任何理由予以重复，并以投标人在投标文件中提出的综合单价或总价为依据。</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3）除非采购人或社会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（4）投标人应充分了解项目的位置、情况、道路及任何其它足以影响投标报价的情况，任何因忽视或误解项目情况而导致的索赔或服务期限延长申请将不获批准。</w:t>
      </w:r>
    </w:p>
    <w:p>
      <w:pPr>
        <w:widowControl/>
        <w:shd w:val="clear" w:color="auto" w:fill="FFFFFF"/>
        <w:tabs>
          <w:tab w:val="left" w:pos="426"/>
          <w:tab w:val="left" w:pos="1021"/>
        </w:tabs>
        <w:adjustRightInd w:val="0"/>
        <w:snapToGrid w:val="0"/>
        <w:spacing w:line="276" w:lineRule="auto"/>
        <w:ind w:firstLine="420" w:firstLineChars="200"/>
        <w:rPr>
          <w:rFonts w:ascii="宋体" w:hAnsi="宋体" w:eastAsia="宋体" w:cs="宋体"/>
          <w:kern w:val="0"/>
          <w:szCs w:val="21"/>
          <w:lang w:bidi="en-US"/>
        </w:rPr>
      </w:pPr>
      <w:r>
        <w:rPr>
          <w:rFonts w:hint="eastAsia" w:ascii="宋体" w:hAnsi="宋体" w:eastAsia="宋体" w:cs="宋体"/>
          <w:kern w:val="0"/>
          <w:szCs w:val="21"/>
          <w:lang w:bidi="en-US"/>
        </w:rPr>
        <w:t>（5）投标人不得期望通过索赔等方式获取补偿，否则，除可能遭到拒绝外，还可能将被作为不良行为记录在案，并可能影响其以后参加采购的项目投标。各投标人在投标报价时，应充分考虑投标报价的风险。</w:t>
      </w:r>
    </w:p>
    <w:p>
      <w:pPr>
        <w:pStyle w:val="33"/>
        <w:rPr>
          <w:lang w:bidi="en-US"/>
        </w:rPr>
      </w:pPr>
    </w:p>
    <w:p>
      <w:pPr>
        <w:spacing w:line="276" w:lineRule="auto"/>
        <w:ind w:firstLine="420" w:firstLineChars="200"/>
        <w:rPr>
          <w:rFonts w:ascii="Cambria" w:hAnsi="Cambria" w:eastAsia="宋体" w:cs="Times New Roman"/>
          <w:b/>
          <w:bCs/>
          <w:kern w:val="28"/>
          <w:sz w:val="28"/>
          <w:szCs w:val="32"/>
        </w:rPr>
      </w:pPr>
      <w:r>
        <w:rPr>
          <w:rFonts w:ascii="宋体" w:hAnsi="Times New Roman" w:eastAsia="宋体" w:cs="宋体"/>
          <w:kern w:val="0"/>
          <w:szCs w:val="24"/>
        </w:rPr>
        <w:br w:type="page"/>
      </w:r>
    </w:p>
    <w:p>
      <w:pPr>
        <w:widowControl/>
        <w:shd w:val="clear" w:color="auto" w:fill="FFFFFF"/>
        <w:adjustRightInd w:val="0"/>
        <w:snapToGrid w:val="0"/>
        <w:spacing w:before="240" w:after="60" w:line="312" w:lineRule="auto"/>
        <w:ind w:firstLine="562"/>
        <w:jc w:val="center"/>
        <w:outlineLvl w:val="1"/>
        <w:rPr>
          <w:rFonts w:ascii="Cambria" w:hAnsi="Cambria" w:eastAsia="宋体" w:cs="Times New Roman"/>
          <w:b/>
          <w:bCs/>
          <w:kern w:val="28"/>
          <w:sz w:val="28"/>
          <w:szCs w:val="32"/>
        </w:rPr>
      </w:pPr>
      <w:bookmarkStart w:id="77" w:name="_Toc167352558"/>
      <w:r>
        <w:rPr>
          <w:rFonts w:hint="eastAsia" w:ascii="Cambria" w:hAnsi="Cambria" w:eastAsia="宋体" w:cs="Times New Roman"/>
          <w:b/>
          <w:bCs/>
          <w:kern w:val="28"/>
          <w:sz w:val="28"/>
          <w:szCs w:val="32"/>
        </w:rPr>
        <w:t>第四章 采购合同的签订、履约及验收</w:t>
      </w:r>
      <w:bookmarkEnd w:id="70"/>
      <w:bookmarkEnd w:id="77"/>
    </w:p>
    <w:p>
      <w:pPr>
        <w:widowControl/>
        <w:shd w:val="clear" w:color="auto" w:fill="FFFFFF"/>
        <w:adjustRightInd w:val="0"/>
        <w:snapToGrid w:val="0"/>
        <w:spacing w:line="360" w:lineRule="auto"/>
        <w:ind w:firstLine="482"/>
        <w:jc w:val="center"/>
        <w:rPr>
          <w:rFonts w:ascii="宋体" w:hAnsi="Times New Roman" w:eastAsia="宋体" w:cs="宋体"/>
          <w:b/>
          <w:kern w:val="0"/>
          <w:sz w:val="24"/>
          <w:szCs w:val="24"/>
        </w:rPr>
      </w:pPr>
      <w:r>
        <w:rPr>
          <w:rFonts w:hint="eastAsia" w:ascii="宋体" w:hAnsi="Times New Roman" w:eastAsia="宋体" w:cs="宋体"/>
          <w:b/>
          <w:kern w:val="0"/>
          <w:sz w:val="24"/>
          <w:szCs w:val="24"/>
        </w:rPr>
        <w:t>一、重要提示</w:t>
      </w:r>
    </w:p>
    <w:p>
      <w:pPr>
        <w:spacing w:line="360" w:lineRule="auto"/>
        <w:ind w:firstLine="420" w:firstLineChars="200"/>
        <w:rPr>
          <w:rFonts w:ascii="宋体" w:hAnsi="Times New Roman" w:eastAsia="宋体" w:cs="Times New Roman"/>
          <w:szCs w:val="21"/>
        </w:rPr>
      </w:pPr>
      <w:bookmarkStart w:id="78" w:name="_Hlk2096823"/>
      <w:r>
        <w:rPr>
          <w:rFonts w:hint="eastAsia" w:ascii="宋体" w:hAnsi="Times New Roman" w:eastAsia="宋体" w:cs="Times New Roman"/>
          <w:szCs w:val="21"/>
        </w:rPr>
        <w:t>（一）</w:t>
      </w:r>
      <w:r>
        <w:rPr>
          <w:rFonts w:hint="eastAsia" w:ascii="宋体" w:hAnsi="Times New Roman" w:eastAsia="宋体" w:cs="宋体"/>
          <w:kern w:val="0"/>
          <w:szCs w:val="21"/>
        </w:rPr>
        <w:t>中标供应商应在中标通知书发出后立即与采购人取得联系。</w:t>
      </w:r>
      <w:r>
        <w:rPr>
          <w:rFonts w:ascii="宋体" w:hAnsi="Times New Roman" w:eastAsia="宋体" w:cs="Times New Roman"/>
          <w:szCs w:val="21"/>
        </w:rPr>
        <w:t>中标供应商将于中标通知书发出之日起</w:t>
      </w:r>
      <w:r>
        <w:rPr>
          <w:rFonts w:hint="eastAsia" w:ascii="宋体" w:hAnsi="Times New Roman" w:eastAsia="宋体" w:cs="Times New Roman"/>
          <w:szCs w:val="21"/>
        </w:rPr>
        <w:t>三</w:t>
      </w:r>
      <w:r>
        <w:rPr>
          <w:rFonts w:ascii="宋体" w:hAnsi="Times New Roman" w:eastAsia="宋体" w:cs="Times New Roman"/>
          <w:szCs w:val="21"/>
        </w:rPr>
        <w:t>十日内，按照招标文件和投标文件内容与采购人签订书面合同，合同书应采用本招标文件规定的合同样本；</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（二）</w:t>
      </w:r>
      <w:r>
        <w:rPr>
          <w:rFonts w:ascii="宋体" w:hAnsi="Times New Roman" w:eastAsia="宋体" w:cs="Times New Roman"/>
          <w:szCs w:val="21"/>
        </w:rPr>
        <w:t xml:space="preserve"> 中标供应商应当按照合同约定履行义务，完成中标项目，不得将中标项目转让（转包）给他人；</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（三）</w:t>
      </w:r>
      <w:r>
        <w:rPr>
          <w:rFonts w:ascii="宋体" w:hAnsi="Times New Roman" w:eastAsia="宋体" w:cs="Times New Roman"/>
          <w:szCs w:val="21"/>
        </w:rPr>
        <w:t xml:space="preserve"> 采购人与中标供应商签订的合同必须遵守本招标文件的合同条件，并且不得更改合同条件。</w:t>
      </w:r>
    </w:p>
    <w:p>
      <w:pPr>
        <w:spacing w:line="360" w:lineRule="auto"/>
        <w:ind w:firstLine="420" w:firstLineChars="200"/>
        <w:rPr>
          <w:rFonts w:ascii="宋体" w:hAnsi="Times New Roman" w:eastAsia="宋体" w:cs="Times New Roman"/>
          <w:szCs w:val="21"/>
        </w:rPr>
      </w:pPr>
      <w:r>
        <w:rPr>
          <w:rFonts w:hint="eastAsia" w:ascii="宋体" w:hAnsi="Times New Roman" w:eastAsia="宋体" w:cs="Times New Roman"/>
          <w:szCs w:val="21"/>
        </w:rPr>
        <w:t>（四）</w:t>
      </w:r>
      <w:r>
        <w:rPr>
          <w:rFonts w:ascii="宋体" w:hAnsi="Times New Roman" w:eastAsia="宋体" w:cs="Times New Roman"/>
          <w:szCs w:val="21"/>
        </w:rPr>
        <w:t xml:space="preserve"> 供应商必须诚信投标，对项目需求进行实质性响应。</w:t>
      </w:r>
      <w:bookmarkEnd w:id="78"/>
    </w:p>
    <w:p>
      <w:pPr>
        <w:widowControl/>
        <w:ind w:firstLine="482"/>
        <w:jc w:val="left"/>
        <w:rPr>
          <w:rFonts w:ascii="Times New Roman" w:hAnsi="Times New Roman" w:eastAsia="宋体" w:cs="Times New Roman"/>
          <w:b/>
          <w:sz w:val="24"/>
          <w:szCs w:val="24"/>
        </w:rPr>
      </w:pPr>
    </w:p>
    <w:p>
      <w:pPr>
        <w:widowControl/>
        <w:ind w:firstLine="482"/>
        <w:jc w:val="left"/>
        <w:rPr>
          <w:rFonts w:ascii="Times New Roman" w:hAnsi="Times New Roman" w:eastAsia="宋体" w:cs="Times New Roman"/>
          <w:b/>
          <w:sz w:val="24"/>
          <w:szCs w:val="24"/>
        </w:rPr>
      </w:pPr>
      <w:r>
        <w:rPr>
          <w:rFonts w:ascii="Times New Roman" w:hAnsi="Times New Roman" w:eastAsia="宋体" w:cs="Times New Roman"/>
          <w:b/>
          <w:sz w:val="24"/>
          <w:szCs w:val="24"/>
        </w:rPr>
        <w:br w:type="page"/>
      </w:r>
    </w:p>
    <w:p>
      <w:pPr>
        <w:widowControl/>
        <w:shd w:val="clear" w:color="auto" w:fill="FFFFFF"/>
        <w:adjustRightInd w:val="0"/>
        <w:snapToGrid w:val="0"/>
        <w:spacing w:line="360" w:lineRule="auto"/>
        <w:ind w:firstLine="482" w:firstLineChars="200"/>
        <w:jc w:val="center"/>
        <w:rPr>
          <w:rFonts w:ascii="宋体" w:hAnsi="Times New Roman" w:eastAsia="宋体" w:cs="宋体"/>
          <w:b/>
          <w:kern w:val="0"/>
          <w:sz w:val="24"/>
          <w:szCs w:val="24"/>
        </w:rPr>
      </w:pPr>
      <w:r>
        <w:rPr>
          <w:rFonts w:hint="eastAsia" w:ascii="宋体" w:hAnsi="Times New Roman" w:eastAsia="宋体" w:cs="宋体"/>
          <w:b/>
          <w:kern w:val="0"/>
          <w:sz w:val="24"/>
          <w:szCs w:val="24"/>
        </w:rPr>
        <w:t>二、合同条款及格式</w:t>
      </w:r>
    </w:p>
    <w:bookmarkEnd w:id="61"/>
    <w:bookmarkEnd w:id="62"/>
    <w:p>
      <w:pPr>
        <w:wordWrap w:val="0"/>
        <w:spacing w:line="360" w:lineRule="auto"/>
        <w:jc w:val="center"/>
        <w:rPr>
          <w:rFonts w:ascii="宋体" w:hAnsi="宋体" w:eastAsia="宋体" w:cs="宋体"/>
          <w:sz w:val="24"/>
          <w:szCs w:val="24"/>
        </w:rPr>
      </w:pPr>
      <w:bookmarkStart w:id="79" w:name="_Toc432592818"/>
      <w:bookmarkStart w:id="80" w:name="_Toc398220526"/>
      <w:r>
        <w:rPr>
          <w:rFonts w:hint="eastAsia" w:ascii="宋体" w:hAnsi="宋体" w:eastAsia="宋体" w:cs="宋体"/>
          <w:b/>
          <w:bCs/>
          <w:szCs w:val="21"/>
        </w:rPr>
        <w:t xml:space="preserve">（本合同实际签订将根据供应商响应情况对合同进行调整）    </w:t>
      </w:r>
      <w:r>
        <w:rPr>
          <w:rFonts w:hint="eastAsia" w:ascii="宋体" w:hAnsi="宋体" w:eastAsia="宋体" w:cs="宋体"/>
          <w:sz w:val="24"/>
          <w:szCs w:val="24"/>
        </w:rPr>
        <w:t xml:space="preserve">    </w:t>
      </w:r>
    </w:p>
    <w:p>
      <w:pPr>
        <w:pStyle w:val="4"/>
        <w:jc w:val="center"/>
        <w:rPr>
          <w:rFonts w:hAnsi="宋体" w:cs="宋体"/>
          <w:b/>
          <w:sz w:val="48"/>
          <w:szCs w:val="30"/>
        </w:rPr>
      </w:pPr>
      <w:r>
        <w:rPr>
          <w:rFonts w:hint="eastAsia" w:hAnsi="宋体" w:cs="宋体"/>
          <w:b/>
          <w:sz w:val="48"/>
          <w:szCs w:val="30"/>
        </w:rPr>
        <w:t>2025-2026年度电梯维保服务合同（一）</w:t>
      </w:r>
    </w:p>
    <w:p>
      <w:pPr>
        <w:ind w:firstLine="400" w:firstLineChars="200"/>
        <w:jc w:val="center"/>
        <w:rPr>
          <w:rFonts w:ascii="宋体" w:hAnsi="宋体" w:eastAsia="宋体" w:cs="宋体"/>
          <w:sz w:val="20"/>
          <w:szCs w:val="32"/>
        </w:rPr>
      </w:pPr>
    </w:p>
    <w:p>
      <w:pPr>
        <w:ind w:firstLine="482" w:firstLineChars="200"/>
        <w:rPr>
          <w:rFonts w:ascii="宋体" w:hAnsi="宋体" w:eastAsia="宋体" w:cs="宋体"/>
          <w:b/>
          <w:bCs/>
          <w:sz w:val="24"/>
        </w:rPr>
      </w:pPr>
      <w:r>
        <w:rPr>
          <w:rFonts w:hint="eastAsia" w:ascii="宋体" w:hAnsi="宋体" w:eastAsia="宋体" w:cs="宋体"/>
          <w:b/>
          <w:bCs/>
          <w:sz w:val="24"/>
        </w:rPr>
        <w:t>甲方：深圳海关后勤管理中心</w:t>
      </w:r>
    </w:p>
    <w:p>
      <w:pPr>
        <w:ind w:firstLine="482" w:firstLineChars="200"/>
        <w:rPr>
          <w:rFonts w:ascii="宋体" w:hAnsi="宋体" w:eastAsia="宋体" w:cs="宋体"/>
          <w:b/>
          <w:bCs/>
          <w:sz w:val="24"/>
        </w:rPr>
      </w:pPr>
      <w:r>
        <w:rPr>
          <w:rFonts w:hint="eastAsia" w:ascii="宋体" w:hAnsi="宋体" w:eastAsia="宋体" w:cs="宋体"/>
          <w:b/>
          <w:bCs/>
          <w:sz w:val="24"/>
        </w:rPr>
        <w:t xml:space="preserve">乙方： </w:t>
      </w:r>
    </w:p>
    <w:p>
      <w:pPr>
        <w:ind w:firstLine="480" w:firstLineChars="200"/>
        <w:rPr>
          <w:rFonts w:ascii="宋体" w:hAnsi="宋体" w:eastAsia="宋体" w:cs="宋体"/>
          <w:sz w:val="24"/>
        </w:rPr>
      </w:pPr>
      <w:r>
        <w:rPr>
          <w:rFonts w:hint="eastAsia" w:ascii="宋体" w:hAnsi="宋体" w:eastAsia="宋体" w:cs="宋体"/>
          <w:sz w:val="24"/>
        </w:rPr>
        <w:t>甲乙双方本着友好协商、公平、互利的原则，就电梯日常维护保养和维修的有关事宜协商一致订立本合同。</w:t>
      </w:r>
    </w:p>
    <w:p>
      <w:pPr>
        <w:numPr>
          <w:ilvl w:val="0"/>
          <w:numId w:val="34"/>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电梯概况</w:t>
      </w:r>
    </w:p>
    <w:tbl>
      <w:tblPr>
        <w:tblStyle w:val="86"/>
        <w:tblW w:w="0" w:type="auto"/>
        <w:tblInd w:w="93" w:type="dxa"/>
        <w:tblLayout w:type="fixed"/>
        <w:tblCellMar>
          <w:top w:w="0" w:type="dxa"/>
          <w:left w:w="108" w:type="dxa"/>
          <w:bottom w:w="0" w:type="dxa"/>
          <w:right w:w="108" w:type="dxa"/>
        </w:tblCellMar>
      </w:tblPr>
      <w:tblGrid>
        <w:gridCol w:w="419"/>
        <w:gridCol w:w="1121"/>
        <w:gridCol w:w="1160"/>
        <w:gridCol w:w="1316"/>
        <w:gridCol w:w="2400"/>
        <w:gridCol w:w="1807"/>
        <w:gridCol w:w="1964"/>
      </w:tblGrid>
      <w:tr>
        <w:tblPrEx>
          <w:tblCellMar>
            <w:top w:w="0" w:type="dxa"/>
            <w:left w:w="108" w:type="dxa"/>
            <w:bottom w:w="0" w:type="dxa"/>
            <w:right w:w="108" w:type="dxa"/>
          </w:tblCellMar>
        </w:tblPrEx>
        <w:trPr>
          <w:trHeight w:val="998"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设备代码(后10位)</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电梯品牌</w:t>
            </w:r>
          </w:p>
        </w:tc>
        <w:tc>
          <w:tcPr>
            <w:tcW w:w="1316" w:type="dxa"/>
            <w:tcBorders>
              <w:top w:val="single" w:color="000000" w:sz="4" w:space="0"/>
              <w:left w:val="single" w:color="000000" w:sz="4" w:space="0"/>
              <w:right w:val="single" w:color="000000" w:sz="4" w:space="0"/>
            </w:tcBorders>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电梯层/站</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运行地点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最高限价(元/年）</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合同期限</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1994091842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日本东芝AC-2</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6层/6站</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文锦渡仓库</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1994091843</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日本东芝AC-2</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6层/6站</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2002030614</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上海三菱SG-VF</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2层/2站</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同乐仓库</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1994124667</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上海安达PC-XPM</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3层/3站</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布吉仓库</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1994124668</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上海安达PC-XPM</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3层/3站</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1994104451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迅达M-B</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6层/6站</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草埔仓库</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1999071110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日本东芝M-B</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6层/6站</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Style w:val="1386"/>
                <w:rFonts w:hint="default"/>
                <w:color w:val="auto"/>
                <w:sz w:val="21"/>
                <w:szCs w:val="21"/>
              </w:rPr>
              <w:t>日本LF</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7层/7站</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Style w:val="1386"/>
                <w:rFonts w:hint="default"/>
                <w:color w:val="auto"/>
                <w:sz w:val="21"/>
                <w:szCs w:val="21"/>
              </w:rPr>
              <w:t>沙头角</w:t>
            </w:r>
            <w:r>
              <w:rPr>
                <w:rStyle w:val="1387"/>
                <w:rFonts w:hint="default"/>
                <w:color w:val="auto"/>
                <w:sz w:val="21"/>
                <w:szCs w:val="21"/>
              </w:rPr>
              <w:t>仓库</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Cs w:val="21"/>
              </w:rPr>
            </w:pPr>
            <w:r>
              <w:rPr>
                <w:rFonts w:hint="eastAsia" w:ascii="宋体" w:hAnsi="宋体" w:eastAsia="宋体" w:cs="宋体"/>
                <w:szCs w:val="21"/>
              </w:rPr>
              <w:t>新装电梯，待定。</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美国</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传送带</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Style w:val="1386"/>
                <w:rFonts w:hint="default"/>
                <w:color w:val="auto"/>
                <w:sz w:val="21"/>
                <w:szCs w:val="21"/>
              </w:rPr>
              <w:t>罗湖</w:t>
            </w:r>
            <w:r>
              <w:rPr>
                <w:rStyle w:val="1387"/>
                <w:rFonts w:hint="default"/>
                <w:color w:val="auto"/>
                <w:sz w:val="21"/>
                <w:szCs w:val="21"/>
              </w:rPr>
              <w:t>仓库</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2001072307</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三菱GPS-III</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5层/5站</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深圳市罗湖区文锦南路1009号</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2025.9.1-2026.8.31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2001072306</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三菱GPS-III</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5层/5站</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5202401206</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雷登TKU</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5层/5站</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深圳市盐田区盐沙路18号梅沙生活区A区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新装电梯，待定。</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2004004599</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日立NPX</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10层/10站</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深圳市宝安区新安二路142号（同乐海关办公区）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2004004600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日立NPX</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9层/9站</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2010004046</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三菱GPS-III</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14层/14站</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深圳市罗湖区宝岗路2号笋岗海关综合大楼（笋岗海关办公区）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2010004047</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三菱GPS-III</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14层/14站</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2020032684</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恒达富士FHND</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6层/6站</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深圳市罗湖区北站路笋岗海关综合大楼（笋岗海关办公区）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7800.00</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2010004591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三菱LEHY-II</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5层/5站</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深圳市盐田区沙头角街道深沙路沙头角口岸检验检疫局监控楼（沙头角海关办公区）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7200.00</w:t>
            </w:r>
          </w:p>
        </w:tc>
        <w:tc>
          <w:tcPr>
            <w:tcW w:w="196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rPr>
              <w:t>2025.6.1-2026.5.31</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2000020267</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三菱GPS-3</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8层/8站</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深圳市盐田区深沙路79号沙头角海关（沙头角海关办公区）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2000030288</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三菱GPS-3</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7层/7站</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深圳市盐田区沙头角动植物检疫大楼（沙头角海关办公区）</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Style w:val="1388"/>
                <w:rFonts w:hint="default"/>
                <w:color w:val="auto"/>
                <w:sz w:val="21"/>
                <w:szCs w:val="21"/>
              </w:rPr>
              <w:t>日立L</w:t>
            </w:r>
            <w:r>
              <w:rPr>
                <w:rStyle w:val="1387"/>
                <w:rFonts w:hint="default"/>
                <w:color w:val="auto"/>
                <w:sz w:val="21"/>
                <w:szCs w:val="21"/>
              </w:rPr>
              <w:t>GE</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6层/6站</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深圳市盐田区沙头角海关综合楼</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Cs w:val="21"/>
              </w:rPr>
            </w:pPr>
            <w:r>
              <w:rPr>
                <w:rFonts w:hint="eastAsia" w:ascii="宋体" w:hAnsi="宋体" w:eastAsia="宋体" w:cs="宋体"/>
                <w:szCs w:val="21"/>
              </w:rPr>
              <w:t>新装电梯，待定。</w:t>
            </w: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Style w:val="1388"/>
                <w:rFonts w:hint="default"/>
                <w:color w:val="auto"/>
                <w:sz w:val="21"/>
                <w:szCs w:val="21"/>
              </w:rPr>
              <w:t>日立L</w:t>
            </w:r>
            <w:r>
              <w:rPr>
                <w:rStyle w:val="1387"/>
                <w:rFonts w:hint="default"/>
                <w:color w:val="auto"/>
                <w:sz w:val="21"/>
                <w:szCs w:val="21"/>
              </w:rPr>
              <w:t>GE</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3层/3站</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深圳市盐田区沙头角园林路办公区食堂楼</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Style w:val="1388"/>
                <w:rFonts w:hint="default"/>
                <w:color w:val="auto"/>
                <w:sz w:val="21"/>
                <w:szCs w:val="21"/>
              </w:rPr>
              <w:t>法布F</w:t>
            </w:r>
            <w:r>
              <w:rPr>
                <w:rStyle w:val="1387"/>
                <w:rFonts w:hint="default"/>
                <w:color w:val="auto"/>
                <w:sz w:val="21"/>
                <w:szCs w:val="21"/>
              </w:rPr>
              <w:t>B-300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szCs w:val="21"/>
              </w:rPr>
            </w:pPr>
            <w:r>
              <w:rPr>
                <w:rStyle w:val="1388"/>
                <w:rFonts w:hint="default"/>
                <w:color w:val="auto"/>
                <w:sz w:val="21"/>
                <w:szCs w:val="21"/>
              </w:rPr>
              <w:t>3层/</w:t>
            </w:r>
            <w:r>
              <w:rPr>
                <w:rStyle w:val="1387"/>
                <w:rFonts w:hint="default"/>
                <w:color w:val="auto"/>
                <w:sz w:val="21"/>
                <w:szCs w:val="21"/>
              </w:rPr>
              <w:t>3站</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深圳市盐田区沙头角园林路办公区食堂楼</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r>
    </w:tbl>
    <w:p>
      <w:pPr>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第二条 电梯保养的内容和标准</w:t>
      </w:r>
    </w:p>
    <w:p>
      <w:pPr>
        <w:ind w:firstLine="480" w:firstLineChars="200"/>
        <w:rPr>
          <w:rFonts w:ascii="宋体" w:hAnsi="宋体" w:eastAsia="宋体" w:cs="宋体"/>
          <w:sz w:val="24"/>
        </w:rPr>
      </w:pPr>
      <w:r>
        <w:rPr>
          <w:rFonts w:hint="eastAsia" w:ascii="宋体" w:hAnsi="宋体" w:eastAsia="宋体" w:cs="宋体"/>
          <w:sz w:val="24"/>
        </w:rPr>
        <w:t>1、乙方应对电梯的现状进行详细的检查，检查结果由甲方签字确认后，根据电梯的现状，乙方应根据《电梯日常维护保养规则》完成15日、季度、半年、年保养项目，做好维护保养记录等，提出具体的电梯保养要求和方案供甲方参考，双方以此约定电梯日常保养和维修的具体内容。</w:t>
      </w:r>
    </w:p>
    <w:p>
      <w:pPr>
        <w:ind w:firstLine="480" w:firstLineChars="200"/>
        <w:rPr>
          <w:rFonts w:ascii="宋体" w:hAnsi="宋体" w:eastAsia="宋体" w:cs="宋体"/>
          <w:sz w:val="24"/>
        </w:rPr>
      </w:pPr>
      <w:r>
        <w:rPr>
          <w:rFonts w:hint="eastAsia" w:ascii="宋体" w:hAnsi="宋体" w:eastAsia="宋体" w:cs="宋体"/>
          <w:sz w:val="24"/>
        </w:rPr>
        <w:t>2、实施保养后的电梯应当符合《电梯维修规范》（GB/T18775）《电梯制造与安装安全规范》（GB 7588）和《自动扶梯和自动人行道的制造与安装安全规范》（GB 16899）的相关规定。</w:t>
      </w:r>
    </w:p>
    <w:p>
      <w:pPr>
        <w:ind w:firstLine="480" w:firstLineChars="200"/>
        <w:rPr>
          <w:rFonts w:ascii="宋体" w:hAnsi="宋体" w:eastAsia="宋体" w:cs="宋体"/>
          <w:sz w:val="24"/>
        </w:rPr>
      </w:pPr>
      <w:r>
        <w:rPr>
          <w:rFonts w:hint="eastAsia" w:ascii="宋体" w:hAnsi="宋体" w:eastAsia="宋体" w:cs="宋体"/>
          <w:sz w:val="24"/>
        </w:rPr>
        <w:t>第三条 合同总金额：</w:t>
      </w:r>
    </w:p>
    <w:p>
      <w:pPr>
        <w:ind w:firstLine="482" w:firstLineChars="200"/>
        <w:rPr>
          <w:rFonts w:ascii="宋体" w:hAnsi="宋体" w:eastAsia="宋体" w:cs="宋体"/>
          <w:b/>
          <w:sz w:val="24"/>
        </w:rPr>
      </w:pPr>
      <w:r>
        <w:rPr>
          <w:rFonts w:hint="eastAsia" w:ascii="宋体" w:hAnsi="宋体" w:eastAsia="宋体" w:cs="宋体"/>
          <w:b/>
          <w:sz w:val="24"/>
        </w:rPr>
        <w:t>人民币     （￥ ）。</w:t>
      </w:r>
    </w:p>
    <w:p>
      <w:pPr>
        <w:numPr>
          <w:ilvl w:val="255"/>
          <w:numId w:val="0"/>
        </w:numPr>
        <w:ind w:firstLine="480" w:firstLineChars="200"/>
        <w:rPr>
          <w:rFonts w:ascii="宋体" w:hAnsi="宋体" w:eastAsia="宋体" w:cs="宋体"/>
          <w:sz w:val="24"/>
        </w:rPr>
      </w:pPr>
      <w:r>
        <w:rPr>
          <w:rFonts w:hint="eastAsia" w:ascii="宋体" w:hAnsi="宋体" w:eastAsia="宋体" w:cs="宋体"/>
          <w:sz w:val="24"/>
          <w:szCs w:val="24"/>
        </w:rPr>
        <w:t>该项目为长期服务项目，合同一年一签，但最长不超过3年，甲方根据乙方履约情况，评估确定是否续签第二年合同，第三年以此类推。</w:t>
      </w:r>
    </w:p>
    <w:p>
      <w:pPr>
        <w:ind w:firstLine="480" w:firstLineChars="200"/>
        <w:rPr>
          <w:rFonts w:ascii="宋体" w:hAnsi="宋体" w:eastAsia="宋体" w:cs="宋体"/>
          <w:sz w:val="24"/>
        </w:rPr>
      </w:pPr>
      <w:r>
        <w:rPr>
          <w:rFonts w:hint="eastAsia" w:ascii="宋体" w:hAnsi="宋体" w:eastAsia="宋体" w:cs="宋体"/>
          <w:sz w:val="24"/>
        </w:rPr>
        <w:t>第四条  付款方式：</w:t>
      </w:r>
    </w:p>
    <w:p>
      <w:pPr>
        <w:numPr>
          <w:ilvl w:val="0"/>
          <w:numId w:val="35"/>
        </w:numPr>
        <w:spacing w:line="360" w:lineRule="auto"/>
        <w:ind w:left="0" w:firstLine="480" w:firstLineChars="200"/>
        <w:rPr>
          <w:rFonts w:ascii="宋体" w:hAnsi="宋体" w:eastAsia="宋体" w:cs="宋体"/>
          <w:sz w:val="24"/>
        </w:rPr>
      </w:pPr>
      <w:r>
        <w:rPr>
          <w:rFonts w:hint="eastAsia" w:ascii="宋体" w:hAnsi="宋体" w:eastAsia="宋体" w:cs="宋体"/>
          <w:sz w:val="24"/>
        </w:rPr>
        <w:t>乙方按月履约完成维保服务后开具发票给甲方，甲方按月考核乙方电梯维保质量并填写《电梯维保考核表》作为支付乙方电梯维保费用依据，在收到乙方提供有效增值税专用发票后10个工作日内以银行转账的方式支付。当委托维保服务的电梯数量发生变化时，以实际结算为准。</w:t>
      </w:r>
    </w:p>
    <w:p>
      <w:pPr>
        <w:numPr>
          <w:ilvl w:val="0"/>
          <w:numId w:val="35"/>
        </w:numPr>
        <w:spacing w:line="360" w:lineRule="auto"/>
        <w:ind w:left="0" w:firstLine="480" w:firstLineChars="200"/>
        <w:rPr>
          <w:rFonts w:ascii="宋体" w:hAnsi="宋体" w:eastAsia="宋体" w:cs="宋体"/>
          <w:sz w:val="24"/>
        </w:rPr>
      </w:pPr>
      <w:r>
        <w:rPr>
          <w:rFonts w:hint="eastAsia" w:ascii="宋体" w:hAnsi="宋体" w:eastAsia="宋体" w:cs="宋体"/>
          <w:sz w:val="24"/>
        </w:rPr>
        <w:t>乙方银行转账信息：</w:t>
      </w:r>
    </w:p>
    <w:p>
      <w:pPr>
        <w:ind w:left="479" w:leftChars="228"/>
        <w:rPr>
          <w:rFonts w:ascii="宋体" w:hAnsi="宋体" w:eastAsia="宋体" w:cs="宋体"/>
          <w:sz w:val="24"/>
        </w:rPr>
      </w:pPr>
      <w:r>
        <w:rPr>
          <w:rFonts w:hint="eastAsia" w:ascii="宋体" w:hAnsi="宋体" w:eastAsia="宋体" w:cs="宋体"/>
          <w:sz w:val="24"/>
        </w:rPr>
        <w:t xml:space="preserve">开户银行： </w:t>
      </w:r>
      <w:r>
        <w:rPr>
          <w:rFonts w:hint="eastAsia" w:ascii="宋体" w:hAnsi="宋体" w:eastAsia="宋体" w:cs="宋体"/>
          <w:sz w:val="24"/>
        </w:rPr>
        <w:br w:type="textWrapping"/>
      </w:r>
      <w:r>
        <w:rPr>
          <w:rFonts w:hint="eastAsia" w:ascii="宋体" w:hAnsi="宋体" w:eastAsia="宋体" w:cs="宋体"/>
          <w:sz w:val="24"/>
        </w:rPr>
        <w:t xml:space="preserve">账号： </w:t>
      </w:r>
    </w:p>
    <w:p>
      <w:pPr>
        <w:ind w:firstLine="480" w:firstLineChars="200"/>
        <w:rPr>
          <w:rFonts w:ascii="宋体" w:hAnsi="宋体" w:eastAsia="宋体" w:cs="宋体"/>
          <w:sz w:val="24"/>
        </w:rPr>
      </w:pPr>
      <w:r>
        <w:rPr>
          <w:rFonts w:hint="eastAsia" w:ascii="宋体" w:hAnsi="宋体" w:eastAsia="宋体" w:cs="宋体"/>
          <w:sz w:val="24"/>
        </w:rPr>
        <w:t>第五条  电梯保养材料费</w:t>
      </w:r>
    </w:p>
    <w:p>
      <w:pPr>
        <w:ind w:firstLine="480" w:firstLineChars="200"/>
        <w:rPr>
          <w:rFonts w:ascii="宋体" w:hAnsi="宋体" w:eastAsia="宋体" w:cs="宋体"/>
          <w:sz w:val="24"/>
        </w:rPr>
      </w:pPr>
      <w:r>
        <w:rPr>
          <w:rFonts w:hint="eastAsia" w:ascii="宋体" w:hAnsi="宋体" w:eastAsia="宋体" w:cs="宋体"/>
          <w:sz w:val="24"/>
        </w:rPr>
        <w:t>本合同约定：材料及零配件费用在400元以下的，由乙方承担。400元（含本数）以上的，由甲方承担。乙方在维护保养电梯时，对任何需要甲方支付费用的工程项目及零件更换，应列出维修项目、维修费用，以不高于市场价的零配件报价形式发书面通知甲方（400元以内配件免费，不需报价），经甲方签字许可后，乙方方可进行。电梯年检费及5年一次的载荷试验（含制动试验）及2年一次的限速器检测费用由甲方支付。</w:t>
      </w:r>
    </w:p>
    <w:p>
      <w:pPr>
        <w:ind w:firstLine="480" w:firstLineChars="200"/>
        <w:rPr>
          <w:rFonts w:ascii="宋体" w:hAnsi="宋体" w:eastAsia="宋体" w:cs="宋体"/>
          <w:sz w:val="24"/>
        </w:rPr>
      </w:pPr>
      <w:r>
        <w:rPr>
          <w:rFonts w:hint="eastAsia" w:ascii="宋体" w:hAnsi="宋体" w:eastAsia="宋体" w:cs="宋体"/>
          <w:sz w:val="24"/>
        </w:rPr>
        <w:t>第六条  乙方负责全年365天24小时紧急救援服务，24小时紧急救援服务热线电话。</w:t>
      </w:r>
    </w:p>
    <w:p>
      <w:pPr>
        <w:ind w:firstLine="480" w:firstLineChars="200"/>
        <w:rPr>
          <w:rFonts w:ascii="宋体" w:hAnsi="宋体" w:eastAsia="宋体" w:cs="宋体"/>
          <w:sz w:val="24"/>
        </w:rPr>
      </w:pPr>
      <w:r>
        <w:rPr>
          <w:rFonts w:hint="eastAsia" w:ascii="宋体" w:hAnsi="宋体" w:eastAsia="宋体" w:cs="宋体"/>
          <w:sz w:val="24"/>
        </w:rPr>
        <w:t>第七条 驻场服务</w:t>
      </w:r>
    </w:p>
    <w:p>
      <w:pPr>
        <w:ind w:firstLine="480" w:firstLineChars="200"/>
        <w:rPr>
          <w:rFonts w:ascii="宋体" w:hAnsi="宋体" w:eastAsia="宋体" w:cs="宋体"/>
          <w:sz w:val="24"/>
        </w:rPr>
      </w:pPr>
      <w:r>
        <w:rPr>
          <w:rFonts w:hint="eastAsia" w:ascii="宋体" w:hAnsi="宋体" w:eastAsia="宋体" w:cs="宋体"/>
          <w:sz w:val="24"/>
        </w:rPr>
        <w:t>根据甲方会务、贵宾接待需要，乙方接到甲方通知后必须提供驻场作业服务（驻场费用已经包含在电梯保养费中）。</w:t>
      </w:r>
    </w:p>
    <w:p>
      <w:pPr>
        <w:ind w:firstLine="480" w:firstLineChars="200"/>
        <w:rPr>
          <w:rFonts w:ascii="宋体" w:hAnsi="宋体" w:eastAsia="宋体" w:cs="宋体"/>
          <w:sz w:val="24"/>
        </w:rPr>
      </w:pPr>
      <w:r>
        <w:rPr>
          <w:rFonts w:hint="eastAsia" w:ascii="宋体" w:hAnsi="宋体" w:eastAsia="宋体" w:cs="宋体"/>
          <w:sz w:val="24"/>
        </w:rPr>
        <w:t>驻场作业人员职责：</w:t>
      </w:r>
    </w:p>
    <w:p>
      <w:pPr>
        <w:ind w:firstLine="480" w:firstLineChars="200"/>
        <w:rPr>
          <w:rFonts w:ascii="宋体" w:hAnsi="宋体" w:eastAsia="宋体" w:cs="宋体"/>
          <w:sz w:val="24"/>
        </w:rPr>
      </w:pPr>
      <w:r>
        <w:rPr>
          <w:rFonts w:hint="eastAsia" w:ascii="宋体" w:hAnsi="宋体" w:eastAsia="宋体" w:cs="宋体"/>
          <w:sz w:val="24"/>
        </w:rPr>
        <w:t>1、服从甲方的相关现场作业人员管理规定。</w:t>
      </w:r>
    </w:p>
    <w:p>
      <w:pPr>
        <w:ind w:firstLine="480" w:firstLineChars="200"/>
        <w:rPr>
          <w:rFonts w:ascii="宋体" w:hAnsi="宋体" w:eastAsia="宋体" w:cs="宋体"/>
          <w:sz w:val="24"/>
        </w:rPr>
      </w:pPr>
      <w:r>
        <w:rPr>
          <w:rFonts w:hint="eastAsia" w:ascii="宋体" w:hAnsi="宋体" w:eastAsia="宋体" w:cs="宋体"/>
          <w:sz w:val="24"/>
        </w:rPr>
        <w:t>2、承担二十四小时现场困人紧急救援工作。</w:t>
      </w:r>
    </w:p>
    <w:p>
      <w:pPr>
        <w:ind w:firstLine="480" w:firstLineChars="200"/>
        <w:rPr>
          <w:rFonts w:ascii="宋体" w:hAnsi="宋体" w:eastAsia="宋体" w:cs="宋体"/>
          <w:sz w:val="24"/>
        </w:rPr>
      </w:pPr>
      <w:r>
        <w:rPr>
          <w:rFonts w:hint="eastAsia" w:ascii="宋体" w:hAnsi="宋体" w:eastAsia="宋体" w:cs="宋体"/>
          <w:sz w:val="24"/>
        </w:rPr>
        <w:t>3、按照合同约定完成合同中的电梯保养工作内容。</w:t>
      </w:r>
    </w:p>
    <w:p>
      <w:pPr>
        <w:ind w:firstLine="480" w:firstLineChars="200"/>
        <w:rPr>
          <w:rFonts w:ascii="宋体" w:hAnsi="宋体" w:eastAsia="宋体" w:cs="宋体"/>
          <w:sz w:val="24"/>
        </w:rPr>
      </w:pPr>
      <w:r>
        <w:rPr>
          <w:rFonts w:hint="eastAsia" w:ascii="宋体" w:hAnsi="宋体" w:eastAsia="宋体" w:cs="宋体"/>
          <w:sz w:val="24"/>
        </w:rPr>
        <w:t>第八条  甲方权利、义务</w:t>
      </w:r>
    </w:p>
    <w:p>
      <w:pPr>
        <w:ind w:firstLine="480" w:firstLineChars="200"/>
        <w:rPr>
          <w:rFonts w:ascii="宋体" w:hAnsi="宋体" w:eastAsia="宋体" w:cs="宋体"/>
          <w:sz w:val="24"/>
        </w:rPr>
      </w:pPr>
      <w:r>
        <w:rPr>
          <w:rFonts w:hint="eastAsia" w:ascii="宋体" w:hAnsi="宋体" w:eastAsia="宋体" w:cs="宋体"/>
          <w:sz w:val="24"/>
        </w:rPr>
        <w:t>（一）权利</w:t>
      </w:r>
    </w:p>
    <w:p>
      <w:pPr>
        <w:ind w:firstLine="480" w:firstLineChars="200"/>
        <w:rPr>
          <w:rFonts w:ascii="宋体" w:hAnsi="宋体" w:eastAsia="宋体" w:cs="宋体"/>
          <w:sz w:val="24"/>
        </w:rPr>
      </w:pPr>
      <w:r>
        <w:rPr>
          <w:rFonts w:hint="eastAsia" w:ascii="宋体" w:hAnsi="宋体" w:eastAsia="宋体" w:cs="宋体"/>
          <w:sz w:val="24"/>
        </w:rPr>
        <w:t>1、有权监督乙方按照合同约定履行维护保养义务，发出故障通知或提出建议。</w:t>
      </w:r>
    </w:p>
    <w:p>
      <w:pPr>
        <w:ind w:firstLine="480" w:firstLineChars="200"/>
        <w:rPr>
          <w:rFonts w:ascii="宋体" w:hAnsi="宋体" w:eastAsia="宋体" w:cs="宋体"/>
          <w:sz w:val="24"/>
        </w:rPr>
      </w:pPr>
      <w:r>
        <w:rPr>
          <w:rFonts w:hint="eastAsia" w:ascii="宋体" w:hAnsi="宋体" w:eastAsia="宋体" w:cs="宋体"/>
          <w:sz w:val="24"/>
        </w:rPr>
        <w:t>2、有权要求乙方保障电梯的正常运行。乙方的维护保养达不到合同约定的维护保养标准或要求的，甲方有权拒绝在维护保养记录上签字。</w:t>
      </w:r>
    </w:p>
    <w:p>
      <w:pPr>
        <w:ind w:firstLine="480" w:firstLineChars="200"/>
        <w:rPr>
          <w:rFonts w:ascii="宋体" w:hAnsi="宋体" w:eastAsia="宋体" w:cs="宋体"/>
          <w:sz w:val="24"/>
        </w:rPr>
      </w:pPr>
      <w:r>
        <w:rPr>
          <w:rFonts w:hint="eastAsia" w:ascii="宋体" w:hAnsi="宋体" w:eastAsia="宋体" w:cs="宋体"/>
          <w:sz w:val="24"/>
        </w:rPr>
        <w:t>3、有权对乙方单方面违反合同约定进行处罚。</w:t>
      </w:r>
    </w:p>
    <w:p>
      <w:pPr>
        <w:ind w:firstLine="480" w:firstLineChars="200"/>
        <w:rPr>
          <w:rFonts w:ascii="宋体" w:hAnsi="宋体" w:eastAsia="宋体" w:cs="宋体"/>
          <w:sz w:val="24"/>
        </w:rPr>
      </w:pPr>
      <w:r>
        <w:rPr>
          <w:rFonts w:hint="eastAsia" w:ascii="宋体" w:hAnsi="宋体" w:eastAsia="宋体" w:cs="宋体"/>
          <w:sz w:val="24"/>
        </w:rPr>
        <w:t>（二）义务</w:t>
      </w:r>
    </w:p>
    <w:p>
      <w:pPr>
        <w:ind w:firstLine="480" w:firstLineChars="200"/>
        <w:rPr>
          <w:rFonts w:ascii="宋体" w:hAnsi="宋体" w:eastAsia="宋体" w:cs="宋体"/>
          <w:sz w:val="24"/>
        </w:rPr>
      </w:pPr>
      <w:r>
        <w:rPr>
          <w:rFonts w:hint="eastAsia" w:ascii="宋体" w:hAnsi="宋体" w:eastAsia="宋体" w:cs="宋体"/>
          <w:sz w:val="24"/>
        </w:rPr>
        <w:t>1、建立电梯安全运行管理制度，保证电梯的用电、消防、防雷、通风、通道、电话通讯、监控摄像和报警装置等系统安全可靠；并保证机房、井道、底坑无漏水、渗水现象，通往机房、底坑、滑轮间、井道安全门的通道畅通、照明充分。甲方的电梯监控室值班人员负责故障的统计。电梯发生故障时，及时通知乙方抢修，并应详细记录相关工作的具体时间。</w:t>
      </w:r>
    </w:p>
    <w:p>
      <w:pPr>
        <w:ind w:firstLine="480" w:firstLineChars="200"/>
        <w:rPr>
          <w:rFonts w:ascii="宋体" w:hAnsi="宋体" w:eastAsia="宋体" w:cs="宋体"/>
          <w:sz w:val="24"/>
        </w:rPr>
      </w:pPr>
      <w:r>
        <w:rPr>
          <w:rFonts w:hint="eastAsia" w:ascii="宋体" w:hAnsi="宋体" w:eastAsia="宋体" w:cs="宋体"/>
          <w:sz w:val="24"/>
        </w:rPr>
        <w:t>2、配备电梯安全管理人员负责电梯的日常安全管理：</w:t>
      </w:r>
    </w:p>
    <w:p>
      <w:pPr>
        <w:ind w:firstLine="480" w:firstLineChars="200"/>
        <w:rPr>
          <w:rFonts w:ascii="宋体" w:hAnsi="宋体" w:eastAsia="宋体" w:cs="宋体"/>
          <w:sz w:val="24"/>
        </w:rPr>
      </w:pPr>
      <w:r>
        <w:rPr>
          <w:rFonts w:hint="eastAsia" w:ascii="宋体" w:hAnsi="宋体" w:eastAsia="宋体" w:cs="宋体"/>
          <w:sz w:val="24"/>
        </w:rPr>
        <w:t>（1）负责电梯的使用管理；</w:t>
      </w:r>
    </w:p>
    <w:p>
      <w:pPr>
        <w:ind w:firstLine="480" w:firstLineChars="200"/>
        <w:rPr>
          <w:rFonts w:ascii="宋体" w:hAnsi="宋体" w:eastAsia="宋体" w:cs="宋体"/>
          <w:sz w:val="24"/>
        </w:rPr>
      </w:pPr>
      <w:r>
        <w:rPr>
          <w:rFonts w:hint="eastAsia" w:ascii="宋体" w:hAnsi="宋体" w:eastAsia="宋体" w:cs="宋体"/>
          <w:sz w:val="24"/>
        </w:rPr>
        <w:t>（2）负责对乙方的维护保养记录、修理记录签字确认；</w:t>
      </w:r>
    </w:p>
    <w:p>
      <w:pPr>
        <w:ind w:firstLine="480" w:firstLineChars="200"/>
        <w:rPr>
          <w:rFonts w:ascii="宋体" w:hAnsi="宋体" w:eastAsia="宋体" w:cs="宋体"/>
          <w:sz w:val="24"/>
        </w:rPr>
      </w:pPr>
      <w:r>
        <w:rPr>
          <w:rFonts w:hint="eastAsia" w:ascii="宋体" w:hAnsi="宋体" w:eastAsia="宋体" w:cs="宋体"/>
          <w:sz w:val="24"/>
        </w:rPr>
        <w:t>（3）负责对乙方提交的电梯安全隐患提示单签字确认。</w:t>
      </w:r>
    </w:p>
    <w:p>
      <w:pPr>
        <w:ind w:firstLine="480" w:firstLineChars="200"/>
        <w:rPr>
          <w:rFonts w:ascii="宋体" w:hAnsi="宋体" w:eastAsia="宋体" w:cs="宋体"/>
          <w:sz w:val="24"/>
        </w:rPr>
      </w:pPr>
      <w:r>
        <w:rPr>
          <w:rFonts w:hint="eastAsia" w:ascii="宋体" w:hAnsi="宋体" w:eastAsia="宋体" w:cs="宋体"/>
          <w:sz w:val="24"/>
        </w:rPr>
        <w:t>（4）如果更换电梯安全管理人员，应当及时通知乙方。</w:t>
      </w:r>
    </w:p>
    <w:p>
      <w:pPr>
        <w:ind w:firstLine="480" w:firstLineChars="200"/>
        <w:rPr>
          <w:rFonts w:ascii="宋体" w:hAnsi="宋体" w:eastAsia="宋体" w:cs="宋体"/>
          <w:sz w:val="24"/>
        </w:rPr>
      </w:pPr>
      <w:r>
        <w:rPr>
          <w:rFonts w:hint="eastAsia" w:ascii="宋体" w:hAnsi="宋体" w:eastAsia="宋体" w:cs="宋体"/>
          <w:sz w:val="24"/>
        </w:rPr>
        <w:t>3、在电梯使用过程中发现故障或异常情况应当立即停止使用，并及时通知乙方。</w:t>
      </w:r>
    </w:p>
    <w:p>
      <w:pPr>
        <w:ind w:firstLine="480" w:firstLineChars="200"/>
        <w:rPr>
          <w:rFonts w:ascii="宋体" w:hAnsi="宋体" w:eastAsia="宋体" w:cs="宋体"/>
          <w:sz w:val="24"/>
        </w:rPr>
      </w:pPr>
      <w:r>
        <w:rPr>
          <w:rFonts w:hint="eastAsia" w:ascii="宋体" w:hAnsi="宋体" w:eastAsia="宋体" w:cs="宋体"/>
          <w:sz w:val="24"/>
        </w:rPr>
        <w:t>4、除乙方无法解决的情况外，未经乙方书面许可不得允许非乙方人员从事与电梯维护保养有关的工作。</w:t>
      </w:r>
    </w:p>
    <w:p>
      <w:pPr>
        <w:ind w:firstLine="480" w:firstLineChars="200"/>
        <w:rPr>
          <w:rFonts w:ascii="宋体" w:hAnsi="宋体" w:eastAsia="宋体" w:cs="宋体"/>
          <w:sz w:val="24"/>
        </w:rPr>
      </w:pPr>
      <w:r>
        <w:rPr>
          <w:rFonts w:hint="eastAsia" w:ascii="宋体" w:hAnsi="宋体" w:eastAsia="宋体" w:cs="宋体"/>
          <w:sz w:val="24"/>
        </w:rPr>
        <w:t>5、应当为乙方提供维护保养所需的工作环境。</w:t>
      </w:r>
    </w:p>
    <w:p>
      <w:pPr>
        <w:ind w:firstLine="480" w:firstLineChars="200"/>
        <w:rPr>
          <w:rFonts w:ascii="宋体" w:hAnsi="宋体" w:eastAsia="宋体" w:cs="宋体"/>
          <w:sz w:val="24"/>
        </w:rPr>
      </w:pPr>
      <w:r>
        <w:rPr>
          <w:rFonts w:hint="eastAsia" w:ascii="宋体" w:hAnsi="宋体" w:eastAsia="宋体" w:cs="宋体"/>
          <w:sz w:val="24"/>
        </w:rPr>
        <w:t>第九条  乙方权利、义务</w:t>
      </w:r>
    </w:p>
    <w:p>
      <w:pPr>
        <w:ind w:firstLine="480" w:firstLineChars="200"/>
        <w:rPr>
          <w:rFonts w:ascii="宋体" w:hAnsi="宋体" w:eastAsia="宋体" w:cs="宋体"/>
          <w:sz w:val="24"/>
        </w:rPr>
      </w:pPr>
      <w:r>
        <w:rPr>
          <w:rFonts w:hint="eastAsia" w:ascii="宋体" w:hAnsi="宋体" w:eastAsia="宋体" w:cs="宋体"/>
          <w:sz w:val="24"/>
        </w:rPr>
        <w:t>（一）权利</w:t>
      </w:r>
    </w:p>
    <w:p>
      <w:pPr>
        <w:ind w:firstLine="480" w:firstLineChars="200"/>
        <w:rPr>
          <w:rFonts w:ascii="宋体" w:hAnsi="宋体" w:eastAsia="宋体" w:cs="宋体"/>
          <w:sz w:val="24"/>
        </w:rPr>
      </w:pPr>
      <w:r>
        <w:rPr>
          <w:rFonts w:hint="eastAsia" w:ascii="宋体" w:hAnsi="宋体" w:eastAsia="宋体" w:cs="宋体"/>
          <w:sz w:val="24"/>
        </w:rPr>
        <w:t>1、有权要求甲方提供维护保养所需的工作环境及相关资料。</w:t>
      </w:r>
    </w:p>
    <w:p>
      <w:pPr>
        <w:ind w:firstLine="480" w:firstLineChars="200"/>
        <w:rPr>
          <w:rFonts w:ascii="宋体" w:hAnsi="宋体" w:eastAsia="宋体" w:cs="宋体"/>
          <w:sz w:val="24"/>
        </w:rPr>
      </w:pPr>
      <w:r>
        <w:rPr>
          <w:rFonts w:hint="eastAsia" w:ascii="宋体" w:hAnsi="宋体" w:eastAsia="宋体" w:cs="宋体"/>
          <w:sz w:val="24"/>
        </w:rPr>
        <w:t>2、乙方有权拒绝甲方提出的影响电梯安全运行的要求。</w:t>
      </w:r>
    </w:p>
    <w:p>
      <w:pPr>
        <w:ind w:firstLine="480" w:firstLineChars="200"/>
        <w:rPr>
          <w:rFonts w:ascii="宋体" w:hAnsi="宋体" w:eastAsia="宋体" w:cs="宋体"/>
          <w:sz w:val="24"/>
        </w:rPr>
      </w:pPr>
      <w:r>
        <w:rPr>
          <w:rFonts w:hint="eastAsia" w:ascii="宋体" w:hAnsi="宋体" w:eastAsia="宋体" w:cs="宋体"/>
          <w:sz w:val="24"/>
        </w:rPr>
        <w:t>（二）义务</w:t>
      </w:r>
    </w:p>
    <w:p>
      <w:pPr>
        <w:ind w:firstLine="480" w:firstLineChars="200"/>
        <w:rPr>
          <w:rFonts w:ascii="宋体" w:hAnsi="宋体" w:eastAsia="宋体" w:cs="宋体"/>
          <w:sz w:val="24"/>
        </w:rPr>
      </w:pPr>
      <w:r>
        <w:rPr>
          <w:rFonts w:hint="eastAsia" w:ascii="宋体" w:hAnsi="宋体" w:eastAsia="宋体" w:cs="宋体"/>
          <w:sz w:val="24"/>
        </w:rPr>
        <w:t>1、应当具备市特种设备安全监督管理部门核发的相应许可。</w:t>
      </w:r>
    </w:p>
    <w:p>
      <w:pPr>
        <w:ind w:firstLine="480" w:firstLineChars="200"/>
        <w:rPr>
          <w:rFonts w:ascii="宋体" w:hAnsi="宋体" w:eastAsia="宋体" w:cs="宋体"/>
          <w:sz w:val="24"/>
        </w:rPr>
      </w:pPr>
      <w:r>
        <w:rPr>
          <w:rFonts w:hint="eastAsia" w:ascii="宋体" w:hAnsi="宋体" w:eastAsia="宋体" w:cs="宋体"/>
          <w:sz w:val="24"/>
        </w:rPr>
        <w:t>2、接到故障通知后，应当立即赶赴现场进行处理；电梯困人时，应当在30分钟内（此时间最长不得超过30分钟）抵达现场,一般故障40分钟内到达现场。</w:t>
      </w:r>
    </w:p>
    <w:p>
      <w:pPr>
        <w:ind w:firstLine="480" w:firstLineChars="200"/>
        <w:rPr>
          <w:rFonts w:ascii="宋体" w:hAnsi="宋体" w:eastAsia="宋体" w:cs="宋体"/>
          <w:sz w:val="24"/>
        </w:rPr>
      </w:pPr>
      <w:r>
        <w:rPr>
          <w:rFonts w:hint="eastAsia" w:ascii="宋体" w:hAnsi="宋体" w:eastAsia="宋体" w:cs="宋体"/>
          <w:sz w:val="24"/>
        </w:rPr>
        <w:t>3、拟派项目人员架构（项目负责人除外）不得少于12人，且应当取得相应的《特种设备作业人员证》。</w:t>
      </w:r>
    </w:p>
    <w:p>
      <w:pPr>
        <w:ind w:firstLine="480" w:firstLineChars="200"/>
        <w:rPr>
          <w:rFonts w:ascii="宋体" w:hAnsi="宋体" w:eastAsia="宋体" w:cs="宋体"/>
          <w:sz w:val="24"/>
        </w:rPr>
      </w:pPr>
      <w:r>
        <w:rPr>
          <w:rFonts w:hint="eastAsia" w:ascii="宋体" w:hAnsi="宋体" w:eastAsia="宋体" w:cs="宋体"/>
          <w:sz w:val="24"/>
        </w:rPr>
        <w:t>4、现场作业人员不得少于两人，且应当取得相应的《特种设备作业人员证》。</w:t>
      </w:r>
    </w:p>
    <w:p>
      <w:pPr>
        <w:ind w:firstLine="480" w:firstLineChars="200"/>
        <w:rPr>
          <w:rFonts w:ascii="宋体" w:hAnsi="宋体" w:eastAsia="宋体" w:cs="宋体"/>
          <w:sz w:val="24"/>
        </w:rPr>
      </w:pPr>
      <w:r>
        <w:rPr>
          <w:rFonts w:hint="eastAsia" w:ascii="宋体" w:hAnsi="宋体" w:eastAsia="宋体" w:cs="宋体"/>
          <w:sz w:val="24"/>
        </w:rPr>
        <w:t>5、作业中应当负责落实现场安全防护措施，保证作业安全。</w:t>
      </w:r>
    </w:p>
    <w:p>
      <w:pPr>
        <w:ind w:firstLine="480" w:firstLineChars="200"/>
        <w:rPr>
          <w:rFonts w:ascii="宋体" w:hAnsi="宋体" w:eastAsia="宋体" w:cs="宋体"/>
          <w:sz w:val="24"/>
        </w:rPr>
      </w:pPr>
      <w:r>
        <w:rPr>
          <w:rFonts w:hint="eastAsia" w:ascii="宋体" w:hAnsi="宋体" w:eastAsia="宋体" w:cs="宋体"/>
          <w:sz w:val="24"/>
        </w:rPr>
        <w:t>6、提供本合同电梯保养的半月、季度、半年、年度维护保养计划及具体实施时间表，并按时进行保养服务，每次保养时间不少于两小时。</w:t>
      </w:r>
    </w:p>
    <w:p>
      <w:pPr>
        <w:ind w:firstLine="480" w:firstLineChars="200"/>
        <w:rPr>
          <w:rFonts w:ascii="宋体" w:hAnsi="宋体" w:eastAsia="宋体" w:cs="宋体"/>
          <w:sz w:val="24"/>
        </w:rPr>
      </w:pPr>
      <w:r>
        <w:rPr>
          <w:rFonts w:hint="eastAsia" w:ascii="宋体" w:hAnsi="宋体" w:eastAsia="宋体" w:cs="宋体"/>
          <w:sz w:val="24"/>
        </w:rPr>
        <w:t>7、根据甲方的故障统计记录提出故障分析报告，报告中应包含电梯故障的整改措施和预防措施、有关电梯使用管理的合理化建议。</w:t>
      </w:r>
    </w:p>
    <w:p>
      <w:pPr>
        <w:ind w:firstLine="480" w:firstLineChars="200"/>
        <w:rPr>
          <w:rFonts w:ascii="宋体" w:hAnsi="宋体" w:eastAsia="宋体" w:cs="宋体"/>
          <w:sz w:val="24"/>
        </w:rPr>
      </w:pPr>
      <w:r>
        <w:rPr>
          <w:rFonts w:hint="eastAsia" w:ascii="宋体" w:hAnsi="宋体" w:eastAsia="宋体" w:cs="宋体"/>
          <w:sz w:val="24"/>
        </w:rPr>
        <w:t>8、当需要完成合同之外所需的重大维修项目时，乙方应及时将相关工程内容和报价提供给甲方。</w:t>
      </w:r>
    </w:p>
    <w:p>
      <w:pPr>
        <w:ind w:firstLine="480" w:firstLineChars="200"/>
        <w:rPr>
          <w:rFonts w:ascii="宋体" w:hAnsi="宋体" w:eastAsia="宋体" w:cs="宋体"/>
          <w:sz w:val="24"/>
        </w:rPr>
      </w:pPr>
      <w:r>
        <w:rPr>
          <w:rFonts w:hint="eastAsia" w:ascii="宋体" w:hAnsi="宋体" w:eastAsia="宋体" w:cs="宋体"/>
          <w:sz w:val="24"/>
        </w:rPr>
        <w:t>9、对所维护保养电梯的安全运行负责，保障设备整机及零部件完整无损。</w:t>
      </w:r>
    </w:p>
    <w:p>
      <w:pPr>
        <w:ind w:firstLine="480" w:firstLineChars="200"/>
        <w:rPr>
          <w:rFonts w:ascii="宋体" w:hAnsi="宋体" w:eastAsia="宋体" w:cs="宋体"/>
          <w:sz w:val="24"/>
        </w:rPr>
      </w:pPr>
      <w:r>
        <w:rPr>
          <w:rFonts w:hint="eastAsia" w:ascii="宋体" w:hAnsi="宋体" w:eastAsia="宋体" w:cs="宋体"/>
          <w:sz w:val="24"/>
        </w:rPr>
        <w:t>10、建立回访制度（包括工作人员服务态度、维修质量、是否按照规定实施维护保养等）。</w:t>
      </w:r>
    </w:p>
    <w:p>
      <w:pPr>
        <w:ind w:firstLine="480" w:firstLineChars="200"/>
        <w:rPr>
          <w:rFonts w:ascii="宋体" w:hAnsi="宋体" w:eastAsia="宋体" w:cs="宋体"/>
          <w:sz w:val="24"/>
        </w:rPr>
      </w:pPr>
      <w:r>
        <w:rPr>
          <w:rFonts w:hint="eastAsia" w:ascii="宋体" w:hAnsi="宋体" w:eastAsia="宋体" w:cs="宋体"/>
          <w:sz w:val="24"/>
        </w:rPr>
        <w:t>11、由企业电梯安全检测员每半年对电梯进行一次安全检测（检测员须持检验员证），并提出相应整改报告。</w:t>
      </w:r>
    </w:p>
    <w:p>
      <w:pPr>
        <w:ind w:firstLine="480" w:firstLineChars="200"/>
        <w:rPr>
          <w:rFonts w:ascii="宋体" w:hAnsi="宋体" w:eastAsia="宋体" w:cs="宋体"/>
          <w:sz w:val="24"/>
        </w:rPr>
      </w:pPr>
      <w:r>
        <w:rPr>
          <w:rFonts w:hint="eastAsia" w:ascii="宋体" w:hAnsi="宋体" w:eastAsia="宋体" w:cs="宋体"/>
          <w:sz w:val="24"/>
        </w:rPr>
        <w:t>12、应当在电梯安全检验合格有效期届满前1个月，向电梯检验检测机构提出定期检验申请。配合电梯检验检测机构对电梯的定期检验，并保证通过电梯检验检测机构对电梯的定期检验合格。</w:t>
      </w:r>
    </w:p>
    <w:p>
      <w:pPr>
        <w:ind w:firstLine="480" w:firstLineChars="200"/>
        <w:rPr>
          <w:rFonts w:ascii="宋体" w:hAnsi="宋体" w:eastAsia="宋体" w:cs="宋体"/>
          <w:sz w:val="24"/>
        </w:rPr>
      </w:pPr>
      <w:r>
        <w:rPr>
          <w:rFonts w:hint="eastAsia" w:ascii="宋体" w:hAnsi="宋体" w:eastAsia="宋体" w:cs="宋体"/>
          <w:sz w:val="24"/>
        </w:rPr>
        <w:t>13、协助甲方制定紧急救援预案并参与电梯的紧急救援工作,积极参与电梯安全管理的各项活动。</w:t>
      </w:r>
    </w:p>
    <w:p>
      <w:pPr>
        <w:ind w:firstLine="480" w:firstLineChars="200"/>
        <w:rPr>
          <w:rFonts w:ascii="宋体" w:hAnsi="宋体" w:eastAsia="宋体" w:cs="宋体"/>
          <w:sz w:val="24"/>
        </w:rPr>
      </w:pPr>
      <w:r>
        <w:rPr>
          <w:rFonts w:hint="eastAsia" w:ascii="宋体" w:hAnsi="宋体" w:eastAsia="宋体" w:cs="宋体"/>
          <w:sz w:val="24"/>
        </w:rPr>
        <w:t>14、如遇召开大型活动或重要检查时，提前一天对电梯进行检查保养，并于领导参观、视察当天派技术人员驻守上述大厦，确保电梯安全稳定运行。</w:t>
      </w:r>
    </w:p>
    <w:p>
      <w:pPr>
        <w:ind w:firstLine="480" w:firstLineChars="200"/>
        <w:rPr>
          <w:rFonts w:ascii="宋体" w:hAnsi="宋体" w:eastAsia="宋体" w:cs="宋体"/>
          <w:sz w:val="24"/>
        </w:rPr>
      </w:pPr>
      <w:r>
        <w:rPr>
          <w:rFonts w:hint="eastAsia" w:ascii="宋体" w:hAnsi="宋体" w:eastAsia="宋体" w:cs="宋体"/>
          <w:sz w:val="24"/>
        </w:rPr>
        <w:t>15、应当妥善保管电梯图纸及相关资料，并在合同终止后交给甲方。</w:t>
      </w:r>
    </w:p>
    <w:p>
      <w:pPr>
        <w:ind w:firstLine="480" w:firstLineChars="200"/>
        <w:rPr>
          <w:rFonts w:ascii="宋体" w:hAnsi="宋体" w:eastAsia="宋体" w:cs="宋体"/>
          <w:sz w:val="24"/>
        </w:rPr>
      </w:pPr>
      <w:r>
        <w:rPr>
          <w:rFonts w:hint="eastAsia" w:ascii="宋体" w:hAnsi="宋体" w:eastAsia="宋体" w:cs="宋体"/>
          <w:sz w:val="24"/>
        </w:rPr>
        <w:t>16、不得以任何形式分包、转包。</w:t>
      </w:r>
    </w:p>
    <w:p>
      <w:pPr>
        <w:ind w:firstLine="480" w:firstLineChars="200"/>
        <w:rPr>
          <w:rFonts w:ascii="宋体" w:hAnsi="宋体" w:eastAsia="宋体" w:cs="宋体"/>
          <w:sz w:val="24"/>
        </w:rPr>
      </w:pPr>
      <w:r>
        <w:rPr>
          <w:rFonts w:hint="eastAsia" w:ascii="宋体" w:hAnsi="宋体" w:eastAsia="宋体" w:cs="宋体"/>
          <w:sz w:val="24"/>
        </w:rPr>
        <w:t>17、当电梯存在安全隐患时，乙方应及时采取停梯措施并立刻通知甲方停用。</w:t>
      </w:r>
    </w:p>
    <w:p>
      <w:pPr>
        <w:ind w:firstLine="480" w:firstLineChars="200"/>
        <w:rPr>
          <w:rFonts w:ascii="宋体" w:hAnsi="宋体" w:eastAsia="宋体" w:cs="宋体"/>
          <w:sz w:val="24"/>
        </w:rPr>
      </w:pPr>
      <w:r>
        <w:rPr>
          <w:rFonts w:hint="eastAsia" w:ascii="宋体" w:hAnsi="宋体" w:eastAsia="宋体" w:cs="宋体"/>
          <w:sz w:val="24"/>
        </w:rPr>
        <w:t>18、在维修、保养、检查作业时，接受甲方工作人员的全程监督。作业工程单须由甲方</w:t>
      </w:r>
    </w:p>
    <w:p>
      <w:pPr>
        <w:ind w:firstLine="480" w:firstLineChars="200"/>
        <w:rPr>
          <w:rFonts w:ascii="宋体" w:hAnsi="宋体" w:eastAsia="宋体" w:cs="宋体"/>
          <w:sz w:val="24"/>
        </w:rPr>
      </w:pPr>
      <w:r>
        <w:rPr>
          <w:rFonts w:hint="eastAsia" w:ascii="宋体" w:hAnsi="宋体" w:eastAsia="宋体" w:cs="宋体"/>
          <w:sz w:val="24"/>
        </w:rPr>
        <w:t>工作人员签名确认。</w:t>
      </w:r>
    </w:p>
    <w:p>
      <w:pPr>
        <w:ind w:firstLine="480" w:firstLineChars="200"/>
        <w:rPr>
          <w:rFonts w:ascii="宋体" w:hAnsi="宋体" w:eastAsia="宋体" w:cs="宋体"/>
          <w:sz w:val="24"/>
        </w:rPr>
      </w:pPr>
      <w:r>
        <w:rPr>
          <w:rFonts w:hint="eastAsia" w:ascii="宋体" w:hAnsi="宋体" w:eastAsia="宋体" w:cs="宋体"/>
          <w:sz w:val="24"/>
        </w:rPr>
        <w:t>19、乙方须按照投标时提供的《电梯配件易损件清单》，</w:t>
      </w:r>
      <w:r>
        <w:rPr>
          <w:rFonts w:hint="eastAsia" w:ascii="宋体" w:hAnsi="宋体" w:eastAsia="宋体" w:cs="宋体"/>
          <w:szCs w:val="21"/>
        </w:rPr>
        <w:t>在甲方指定地点建立备品备件库。</w:t>
      </w:r>
    </w:p>
    <w:p>
      <w:pPr>
        <w:ind w:firstLine="480" w:firstLineChars="200"/>
        <w:rPr>
          <w:rFonts w:ascii="宋体" w:hAnsi="宋体" w:eastAsia="宋体" w:cs="宋体"/>
          <w:sz w:val="24"/>
        </w:rPr>
      </w:pPr>
      <w:r>
        <w:rPr>
          <w:rFonts w:hint="eastAsia" w:ascii="宋体" w:hAnsi="宋体" w:eastAsia="宋体" w:cs="宋体"/>
          <w:sz w:val="24"/>
        </w:rPr>
        <w:t>第十条  违约责任</w:t>
      </w:r>
    </w:p>
    <w:p>
      <w:pPr>
        <w:ind w:firstLine="480" w:firstLineChars="200"/>
        <w:rPr>
          <w:rFonts w:ascii="宋体" w:hAnsi="宋体" w:eastAsia="宋体" w:cs="宋体"/>
          <w:sz w:val="24"/>
        </w:rPr>
      </w:pPr>
      <w:r>
        <w:rPr>
          <w:rFonts w:hint="eastAsia" w:ascii="宋体" w:hAnsi="宋体" w:eastAsia="宋体" w:cs="宋体"/>
          <w:sz w:val="24"/>
        </w:rPr>
        <w:t>（一）一方当事人未按约定履行义务给对方造成直接损失的，应当承担赔偿责任。</w:t>
      </w:r>
    </w:p>
    <w:p>
      <w:pPr>
        <w:ind w:firstLine="480" w:firstLineChars="200"/>
        <w:rPr>
          <w:rFonts w:ascii="宋体" w:hAnsi="宋体" w:eastAsia="宋体" w:cs="宋体"/>
          <w:sz w:val="24"/>
        </w:rPr>
      </w:pPr>
      <w:r>
        <w:rPr>
          <w:rFonts w:hint="eastAsia" w:ascii="宋体" w:hAnsi="宋体" w:eastAsia="宋体" w:cs="宋体"/>
          <w:sz w:val="24"/>
        </w:rPr>
        <w:t>（二）一方当事人无法继续履行合同的，应当及时通知另一方，并由责任方承担因合同解除而造成的损失。</w:t>
      </w:r>
    </w:p>
    <w:p>
      <w:pPr>
        <w:ind w:firstLine="480" w:firstLineChars="200"/>
        <w:rPr>
          <w:rFonts w:ascii="宋体" w:hAnsi="宋体" w:eastAsia="宋体" w:cs="宋体"/>
          <w:sz w:val="24"/>
        </w:rPr>
      </w:pPr>
      <w:r>
        <w:rPr>
          <w:rFonts w:hint="eastAsia" w:ascii="宋体" w:hAnsi="宋体" w:eastAsia="宋体" w:cs="宋体"/>
          <w:sz w:val="24"/>
        </w:rPr>
        <w:t>（三） 甲方无正当理由未按照约定期限支付费用的，每延误一日应当向乙方支付延误部分月费用1%的违约金。超过双方约定的60日时，本合同自动终止。</w:t>
      </w:r>
    </w:p>
    <w:p>
      <w:pPr>
        <w:ind w:firstLine="480" w:firstLineChars="200"/>
        <w:rPr>
          <w:rFonts w:ascii="宋体" w:hAnsi="宋体" w:eastAsia="宋体" w:cs="宋体"/>
          <w:sz w:val="24"/>
        </w:rPr>
      </w:pPr>
      <w:r>
        <w:rPr>
          <w:rFonts w:hint="eastAsia" w:ascii="宋体" w:hAnsi="宋体" w:eastAsia="宋体" w:cs="宋体"/>
          <w:sz w:val="24"/>
        </w:rPr>
        <w:t>（四）甲方违反约定允许非乙方人员从事电梯维护保养工作的，应当按照月费用5%标准支付违约金。</w:t>
      </w:r>
    </w:p>
    <w:p>
      <w:pPr>
        <w:ind w:firstLine="480" w:firstLineChars="200"/>
        <w:rPr>
          <w:rFonts w:ascii="宋体" w:hAnsi="宋体" w:eastAsia="宋体" w:cs="宋体"/>
          <w:sz w:val="24"/>
        </w:rPr>
      </w:pPr>
      <w:r>
        <w:rPr>
          <w:rFonts w:hint="eastAsia" w:ascii="宋体" w:hAnsi="宋体" w:eastAsia="宋体" w:cs="宋体"/>
          <w:sz w:val="24"/>
        </w:rPr>
        <w:t>（五）非因乙方维护保养原因，因电梯使用、管理原因导致人身伤亡或设备损坏、丢失的，由甲方自行承担全部责任。</w:t>
      </w:r>
    </w:p>
    <w:p>
      <w:pPr>
        <w:ind w:firstLine="480" w:firstLineChars="200"/>
        <w:rPr>
          <w:rFonts w:ascii="宋体" w:hAnsi="宋体" w:eastAsia="宋体" w:cs="宋体"/>
          <w:sz w:val="24"/>
        </w:rPr>
      </w:pPr>
      <w:r>
        <w:rPr>
          <w:rFonts w:hint="eastAsia" w:ascii="宋体" w:hAnsi="宋体" w:eastAsia="宋体" w:cs="宋体"/>
          <w:sz w:val="24"/>
        </w:rPr>
        <w:t>（六）乙方的维护保养工作不符合合同约定的维护保养标准或要求的，乙方应当返工，并按照月费用15%标准支付每次违约金。</w:t>
      </w:r>
    </w:p>
    <w:p>
      <w:pPr>
        <w:ind w:firstLine="480" w:firstLineChars="200"/>
        <w:rPr>
          <w:rFonts w:ascii="宋体" w:hAnsi="宋体" w:eastAsia="宋体" w:cs="宋体"/>
          <w:sz w:val="24"/>
        </w:rPr>
      </w:pPr>
      <w:r>
        <w:rPr>
          <w:rFonts w:hint="eastAsia" w:ascii="宋体" w:hAnsi="宋体" w:eastAsia="宋体" w:cs="宋体"/>
          <w:sz w:val="24"/>
        </w:rPr>
        <w:t>（七）因维护保养原因导致人身伤亡或设备损坏、丢失的，由乙方承担全部责任。</w:t>
      </w:r>
    </w:p>
    <w:p>
      <w:pPr>
        <w:ind w:firstLine="480" w:firstLineChars="200"/>
        <w:rPr>
          <w:rFonts w:ascii="宋体" w:hAnsi="宋体" w:eastAsia="宋体" w:cs="宋体"/>
          <w:sz w:val="24"/>
        </w:rPr>
      </w:pPr>
      <w:r>
        <w:rPr>
          <w:rFonts w:hint="eastAsia" w:ascii="宋体" w:hAnsi="宋体" w:eastAsia="宋体" w:cs="宋体"/>
          <w:sz w:val="24"/>
        </w:rPr>
        <w:t>（八）因维护保养原因导致电梯检验检测不合格的，乙方还应当承担电梯复验费用。并按照月费用100%标准支付违约金。</w:t>
      </w:r>
    </w:p>
    <w:p>
      <w:pPr>
        <w:ind w:firstLine="480" w:firstLineChars="200"/>
        <w:rPr>
          <w:rFonts w:ascii="宋体" w:hAnsi="宋体" w:eastAsia="宋体" w:cs="宋体"/>
          <w:sz w:val="24"/>
        </w:rPr>
      </w:pPr>
      <w:r>
        <w:rPr>
          <w:rFonts w:hint="eastAsia" w:ascii="宋体" w:hAnsi="宋体" w:eastAsia="宋体" w:cs="宋体"/>
          <w:sz w:val="24"/>
        </w:rPr>
        <w:t>（九）根据本合同的电梯现状，甲乙双方约定非使用原因导致的电梯故障率每月每台电梯不得超过3次，超过3次甲方可拒付此台故障电梯本月保养费。</w:t>
      </w:r>
    </w:p>
    <w:p>
      <w:pPr>
        <w:ind w:firstLine="480" w:firstLineChars="200"/>
        <w:rPr>
          <w:rFonts w:ascii="宋体" w:hAnsi="宋体" w:eastAsia="宋体" w:cs="宋体"/>
          <w:sz w:val="24"/>
        </w:rPr>
      </w:pPr>
      <w:r>
        <w:rPr>
          <w:rFonts w:hint="eastAsia" w:ascii="宋体" w:hAnsi="宋体" w:eastAsia="宋体" w:cs="宋体"/>
          <w:sz w:val="24"/>
        </w:rPr>
        <w:t>（十）电梯故障的抢修恢复运行时间不得超过2小时，超过2小时甲方可拒付此台故障电梯本月保养费。</w:t>
      </w:r>
    </w:p>
    <w:p>
      <w:pPr>
        <w:ind w:firstLine="480" w:firstLineChars="200"/>
        <w:rPr>
          <w:rFonts w:ascii="宋体" w:hAnsi="宋体" w:eastAsia="宋体" w:cs="宋体"/>
          <w:sz w:val="24"/>
        </w:rPr>
      </w:pPr>
      <w:r>
        <w:rPr>
          <w:rFonts w:hint="eastAsia" w:ascii="宋体" w:hAnsi="宋体" w:eastAsia="宋体" w:cs="宋体"/>
          <w:sz w:val="24"/>
        </w:rPr>
        <w:t>(十一) 乙方违约责任涉及付款的，以电梯维保考核表作为结算依据。</w:t>
      </w:r>
    </w:p>
    <w:p>
      <w:pPr>
        <w:ind w:firstLine="480" w:firstLineChars="200"/>
        <w:rPr>
          <w:rFonts w:ascii="宋体" w:hAnsi="宋体" w:eastAsia="宋体" w:cs="宋体"/>
          <w:sz w:val="24"/>
        </w:rPr>
      </w:pPr>
      <w:r>
        <w:rPr>
          <w:rFonts w:hint="eastAsia" w:ascii="宋体" w:hAnsi="宋体" w:eastAsia="宋体" w:cs="宋体"/>
          <w:sz w:val="24"/>
        </w:rPr>
        <w:t>第十一条  合同的解除</w:t>
      </w:r>
    </w:p>
    <w:p>
      <w:pPr>
        <w:ind w:firstLine="480" w:firstLineChars="200"/>
        <w:rPr>
          <w:rFonts w:ascii="宋体" w:hAnsi="宋体" w:eastAsia="宋体" w:cs="宋体"/>
          <w:sz w:val="24"/>
        </w:rPr>
      </w:pPr>
      <w:r>
        <w:rPr>
          <w:rFonts w:hint="eastAsia" w:ascii="宋体" w:hAnsi="宋体" w:eastAsia="宋体" w:cs="宋体"/>
          <w:sz w:val="24"/>
        </w:rPr>
        <w:t>（一）甲乙双方协商一致，可以解除合同。</w:t>
      </w:r>
    </w:p>
    <w:p>
      <w:pPr>
        <w:ind w:firstLine="480" w:firstLineChars="200"/>
        <w:rPr>
          <w:rFonts w:ascii="宋体" w:hAnsi="宋体" w:eastAsia="宋体" w:cs="宋体"/>
          <w:sz w:val="24"/>
        </w:rPr>
      </w:pPr>
      <w:r>
        <w:rPr>
          <w:rFonts w:hint="eastAsia" w:ascii="宋体" w:hAnsi="宋体" w:eastAsia="宋体" w:cs="宋体"/>
          <w:sz w:val="24"/>
        </w:rPr>
        <w:t>（二）任何一方严重违约导致合同无法继续履行的，另一方可以解除合同。此外任何一方不得单方解除合同。</w:t>
      </w:r>
    </w:p>
    <w:p>
      <w:pPr>
        <w:ind w:firstLine="480" w:firstLineChars="200"/>
        <w:rPr>
          <w:rFonts w:ascii="宋体" w:hAnsi="宋体" w:eastAsia="宋体" w:cs="宋体"/>
          <w:sz w:val="24"/>
        </w:rPr>
      </w:pPr>
      <w:r>
        <w:rPr>
          <w:rFonts w:hint="eastAsia" w:ascii="宋体" w:hAnsi="宋体" w:eastAsia="宋体" w:cs="宋体"/>
          <w:sz w:val="24"/>
        </w:rPr>
        <w:t>第十二条  争端解决</w:t>
      </w:r>
    </w:p>
    <w:p>
      <w:pPr>
        <w:ind w:firstLine="480" w:firstLineChars="200"/>
        <w:rPr>
          <w:rFonts w:ascii="宋体" w:hAnsi="宋体" w:eastAsia="宋体" w:cs="宋体"/>
          <w:sz w:val="24"/>
        </w:rPr>
      </w:pPr>
      <w:r>
        <w:rPr>
          <w:rFonts w:hint="eastAsia" w:ascii="宋体" w:hAnsi="宋体" w:eastAsia="宋体" w:cs="宋体"/>
          <w:sz w:val="24"/>
        </w:rPr>
        <w:t>1、合同实施或合同有关的一切争端应通过双方协商解决。如果协商开始后60日内还不能解决，提交甲方所在地人民法院诉讼解决。</w:t>
      </w:r>
    </w:p>
    <w:p>
      <w:pPr>
        <w:ind w:firstLine="480" w:firstLineChars="200"/>
        <w:rPr>
          <w:rFonts w:ascii="宋体" w:hAnsi="宋体" w:eastAsia="宋体" w:cs="宋体"/>
          <w:sz w:val="24"/>
        </w:rPr>
      </w:pPr>
      <w:r>
        <w:rPr>
          <w:rFonts w:hint="eastAsia" w:ascii="宋体" w:hAnsi="宋体" w:eastAsia="宋体" w:cs="宋体"/>
          <w:sz w:val="24"/>
        </w:rPr>
        <w:t>2、在诉讼期间，除正在进行诉讼的部分，本合同其他部分应继续执行。</w:t>
      </w:r>
    </w:p>
    <w:p>
      <w:pPr>
        <w:ind w:firstLine="480" w:firstLineChars="200"/>
        <w:rPr>
          <w:rFonts w:ascii="宋体" w:hAnsi="宋体" w:eastAsia="宋体" w:cs="宋体"/>
          <w:sz w:val="24"/>
        </w:rPr>
      </w:pPr>
      <w:r>
        <w:rPr>
          <w:rFonts w:hint="eastAsia" w:ascii="宋体" w:hAnsi="宋体" w:eastAsia="宋体" w:cs="宋体"/>
          <w:sz w:val="24"/>
        </w:rPr>
        <w:t>第十三条  其他约定</w:t>
      </w:r>
    </w:p>
    <w:p>
      <w:pPr>
        <w:ind w:firstLine="480" w:firstLineChars="200"/>
        <w:rPr>
          <w:rFonts w:ascii="宋体" w:hAnsi="宋体" w:eastAsia="宋体" w:cs="宋体"/>
          <w:sz w:val="24"/>
        </w:rPr>
      </w:pPr>
      <w:r>
        <w:rPr>
          <w:rFonts w:hint="eastAsia" w:ascii="宋体" w:hAnsi="宋体" w:eastAsia="宋体" w:cs="宋体"/>
          <w:sz w:val="24"/>
        </w:rPr>
        <w:t>（一）电梯保养作业时间：1、办公楼星期六、日；2、住宅楼星期一至五。</w:t>
      </w:r>
    </w:p>
    <w:p>
      <w:pPr>
        <w:ind w:firstLine="480" w:firstLineChars="200"/>
        <w:rPr>
          <w:rFonts w:ascii="宋体" w:hAnsi="宋体" w:eastAsia="宋体" w:cs="宋体"/>
          <w:sz w:val="24"/>
        </w:rPr>
      </w:pPr>
      <w:r>
        <w:rPr>
          <w:rFonts w:hint="eastAsia" w:ascii="宋体" w:hAnsi="宋体" w:eastAsia="宋体" w:cs="宋体"/>
          <w:sz w:val="24"/>
        </w:rPr>
        <w:t>（二）维护保养记录是记载电梯运行、维护、保养的依据。甲乙双方对每台电梯均应当建立独立的维护保养记录。维护保养记录应当一式两份，甲乙双方各保存一份，保存时间为4 年。普通维修、重大维修、改造协议与抢修记录均应当与维护保养记录一并保存。</w:t>
      </w:r>
    </w:p>
    <w:p>
      <w:pPr>
        <w:ind w:firstLine="480" w:firstLineChars="200"/>
        <w:rPr>
          <w:rFonts w:ascii="宋体" w:hAnsi="宋体" w:eastAsia="宋体" w:cs="宋体"/>
          <w:sz w:val="24"/>
        </w:rPr>
      </w:pPr>
      <w:r>
        <w:rPr>
          <w:rFonts w:hint="eastAsia" w:ascii="宋体" w:hAnsi="宋体" w:eastAsia="宋体" w:cs="宋体"/>
          <w:sz w:val="24"/>
        </w:rPr>
        <w:t>(三) 甲乙双方应当对每台电梯共同建立如下完整安全技术档案，并双方各保存一份。</w:t>
      </w:r>
    </w:p>
    <w:p>
      <w:pPr>
        <w:ind w:firstLine="480" w:firstLineChars="200"/>
        <w:rPr>
          <w:rFonts w:ascii="宋体" w:hAnsi="宋体" w:eastAsia="宋体" w:cs="宋体"/>
          <w:sz w:val="24"/>
        </w:rPr>
      </w:pPr>
      <w:r>
        <w:rPr>
          <w:rFonts w:hint="eastAsia" w:ascii="宋体" w:hAnsi="宋体" w:eastAsia="宋体" w:cs="宋体"/>
          <w:sz w:val="24"/>
        </w:rPr>
        <w:t>（1） 产品合格证；</w:t>
      </w:r>
    </w:p>
    <w:p>
      <w:pPr>
        <w:ind w:firstLine="480" w:firstLineChars="200"/>
        <w:rPr>
          <w:rFonts w:ascii="宋体" w:hAnsi="宋体" w:eastAsia="宋体" w:cs="宋体"/>
          <w:sz w:val="24"/>
        </w:rPr>
      </w:pPr>
      <w:r>
        <w:rPr>
          <w:rFonts w:hint="eastAsia" w:ascii="宋体" w:hAnsi="宋体" w:eastAsia="宋体" w:cs="宋体"/>
          <w:sz w:val="24"/>
        </w:rPr>
        <w:t>（2） 使用维护说明书；</w:t>
      </w:r>
    </w:p>
    <w:p>
      <w:pPr>
        <w:ind w:firstLine="480" w:firstLineChars="200"/>
        <w:rPr>
          <w:rFonts w:ascii="宋体" w:hAnsi="宋体" w:eastAsia="宋体" w:cs="宋体"/>
          <w:sz w:val="24"/>
        </w:rPr>
      </w:pPr>
      <w:r>
        <w:rPr>
          <w:rFonts w:hint="eastAsia" w:ascii="宋体" w:hAnsi="宋体" w:eastAsia="宋体" w:cs="宋体"/>
          <w:sz w:val="24"/>
        </w:rPr>
        <w:t>（3） 电气原理图；</w:t>
      </w:r>
    </w:p>
    <w:p>
      <w:pPr>
        <w:ind w:firstLine="480" w:firstLineChars="200"/>
        <w:rPr>
          <w:rFonts w:ascii="宋体" w:hAnsi="宋体" w:eastAsia="宋体" w:cs="宋体"/>
          <w:sz w:val="24"/>
        </w:rPr>
      </w:pPr>
      <w:r>
        <w:rPr>
          <w:rFonts w:hint="eastAsia" w:ascii="宋体" w:hAnsi="宋体" w:eastAsia="宋体" w:cs="宋体"/>
          <w:sz w:val="24"/>
        </w:rPr>
        <w:t>（4） 电气敷设图；</w:t>
      </w:r>
    </w:p>
    <w:p>
      <w:pPr>
        <w:ind w:firstLine="480" w:firstLineChars="200"/>
        <w:rPr>
          <w:rFonts w:ascii="宋体" w:hAnsi="宋体" w:eastAsia="宋体" w:cs="宋体"/>
          <w:sz w:val="24"/>
        </w:rPr>
      </w:pPr>
      <w:r>
        <w:rPr>
          <w:rFonts w:hint="eastAsia" w:ascii="宋体" w:hAnsi="宋体" w:eastAsia="宋体" w:cs="宋体"/>
          <w:sz w:val="24"/>
        </w:rPr>
        <w:t>（5） 安装说明书；</w:t>
      </w:r>
    </w:p>
    <w:p>
      <w:pPr>
        <w:ind w:firstLine="480" w:firstLineChars="200"/>
        <w:rPr>
          <w:rFonts w:ascii="宋体" w:hAnsi="宋体" w:eastAsia="宋体" w:cs="宋体"/>
          <w:sz w:val="24"/>
        </w:rPr>
      </w:pPr>
      <w:r>
        <w:rPr>
          <w:rFonts w:hint="eastAsia" w:ascii="宋体" w:hAnsi="宋体" w:eastAsia="宋体" w:cs="宋体"/>
          <w:sz w:val="24"/>
        </w:rPr>
        <w:t>（6） 电梯整机、安全部件和主要部件型式试验报告结论副本或结论；</w:t>
      </w:r>
    </w:p>
    <w:p>
      <w:pPr>
        <w:ind w:firstLine="480" w:firstLineChars="200"/>
        <w:rPr>
          <w:rFonts w:ascii="宋体" w:hAnsi="宋体" w:eastAsia="宋体" w:cs="宋体"/>
          <w:sz w:val="24"/>
        </w:rPr>
      </w:pPr>
      <w:r>
        <w:rPr>
          <w:rFonts w:hint="eastAsia" w:ascii="宋体" w:hAnsi="宋体" w:eastAsia="宋体" w:cs="宋体"/>
          <w:sz w:val="24"/>
        </w:rPr>
        <w:t>（7） 电梯运行全部记录；</w:t>
      </w:r>
    </w:p>
    <w:p>
      <w:pPr>
        <w:ind w:firstLine="480" w:firstLineChars="200"/>
        <w:rPr>
          <w:rFonts w:ascii="宋体" w:hAnsi="宋体" w:eastAsia="宋体" w:cs="宋体"/>
          <w:sz w:val="24"/>
        </w:rPr>
      </w:pPr>
      <w:r>
        <w:rPr>
          <w:rFonts w:hint="eastAsia" w:ascii="宋体" w:hAnsi="宋体" w:eastAsia="宋体" w:cs="宋体"/>
          <w:sz w:val="24"/>
        </w:rPr>
        <w:t>（8） 故障及事故记录；</w:t>
      </w:r>
    </w:p>
    <w:p>
      <w:pPr>
        <w:ind w:firstLine="480" w:firstLineChars="200"/>
        <w:rPr>
          <w:rFonts w:ascii="宋体" w:hAnsi="宋体" w:eastAsia="宋体" w:cs="宋体"/>
          <w:sz w:val="24"/>
        </w:rPr>
      </w:pPr>
      <w:r>
        <w:rPr>
          <w:rFonts w:hint="eastAsia" w:ascii="宋体" w:hAnsi="宋体" w:eastAsia="宋体" w:cs="宋体"/>
          <w:sz w:val="24"/>
        </w:rPr>
        <w:t>（9） 改造、重大维修原始记录；</w:t>
      </w:r>
    </w:p>
    <w:p>
      <w:pPr>
        <w:ind w:firstLine="480" w:firstLineChars="200"/>
        <w:rPr>
          <w:rFonts w:ascii="宋体" w:hAnsi="宋体" w:eastAsia="宋体" w:cs="宋体"/>
          <w:sz w:val="24"/>
        </w:rPr>
      </w:pPr>
      <w:r>
        <w:rPr>
          <w:rFonts w:hint="eastAsia" w:ascii="宋体" w:hAnsi="宋体" w:eastAsia="宋体" w:cs="宋体"/>
          <w:sz w:val="24"/>
        </w:rPr>
        <w:t>（10）深圳市特种设备登记卡；</w:t>
      </w:r>
    </w:p>
    <w:p>
      <w:pPr>
        <w:ind w:firstLine="480" w:firstLineChars="200"/>
        <w:rPr>
          <w:rFonts w:ascii="宋体" w:hAnsi="宋体" w:eastAsia="宋体" w:cs="宋体"/>
          <w:sz w:val="24"/>
        </w:rPr>
      </w:pPr>
      <w:r>
        <w:rPr>
          <w:rFonts w:hint="eastAsia" w:ascii="宋体" w:hAnsi="宋体" w:eastAsia="宋体" w:cs="宋体"/>
          <w:sz w:val="24"/>
        </w:rPr>
        <w:t>（11）电梯施工自检记录；</w:t>
      </w:r>
    </w:p>
    <w:p>
      <w:pPr>
        <w:ind w:firstLine="480" w:firstLineChars="200"/>
        <w:rPr>
          <w:rFonts w:ascii="宋体" w:hAnsi="宋体" w:eastAsia="宋体" w:cs="宋体"/>
          <w:sz w:val="24"/>
        </w:rPr>
      </w:pPr>
      <w:r>
        <w:rPr>
          <w:rFonts w:hint="eastAsia" w:ascii="宋体" w:hAnsi="宋体" w:eastAsia="宋体" w:cs="宋体"/>
          <w:sz w:val="24"/>
        </w:rPr>
        <w:t>（12）年度的检验报告；</w:t>
      </w:r>
    </w:p>
    <w:p>
      <w:pPr>
        <w:ind w:firstLine="480" w:firstLineChars="200"/>
        <w:rPr>
          <w:rFonts w:ascii="宋体" w:hAnsi="宋体" w:eastAsia="宋体" w:cs="宋体"/>
          <w:sz w:val="24"/>
        </w:rPr>
      </w:pPr>
      <w:r>
        <w:rPr>
          <w:rFonts w:hint="eastAsia" w:ascii="宋体" w:hAnsi="宋体" w:eastAsia="宋体" w:cs="宋体"/>
          <w:sz w:val="24"/>
        </w:rPr>
        <w:t>（四）甲乙双方应当制定电梯事故应急防范措施和救援预案并定期演练。</w:t>
      </w:r>
    </w:p>
    <w:p>
      <w:pPr>
        <w:ind w:firstLine="480" w:firstLineChars="200"/>
        <w:rPr>
          <w:rFonts w:ascii="宋体" w:hAnsi="宋体" w:eastAsia="宋体" w:cs="宋体"/>
          <w:sz w:val="24"/>
        </w:rPr>
      </w:pPr>
      <w:r>
        <w:rPr>
          <w:rFonts w:hint="eastAsia" w:ascii="宋体" w:hAnsi="宋体" w:eastAsia="宋体" w:cs="宋体"/>
          <w:sz w:val="24"/>
        </w:rPr>
        <w:t>（五）甲乙双方应根据风险转移需求，购买电梯设备、乘客、电梯管理员、维修保养人员的相关商业保险，甲方购买电梯第三者险。</w:t>
      </w:r>
    </w:p>
    <w:p>
      <w:pPr>
        <w:ind w:firstLine="480" w:firstLineChars="200"/>
        <w:rPr>
          <w:rFonts w:ascii="宋体" w:hAnsi="宋体" w:eastAsia="宋体" w:cs="宋体"/>
          <w:sz w:val="24"/>
        </w:rPr>
      </w:pPr>
      <w:r>
        <w:rPr>
          <w:rFonts w:hint="eastAsia" w:ascii="宋体" w:hAnsi="宋体" w:eastAsia="宋体" w:cs="宋体"/>
          <w:sz w:val="24"/>
        </w:rPr>
        <w:t>第十四条  合同期限</w:t>
      </w:r>
    </w:p>
    <w:p>
      <w:pPr>
        <w:ind w:firstLine="480" w:firstLineChars="200"/>
        <w:rPr>
          <w:rFonts w:ascii="宋体" w:hAnsi="宋体" w:eastAsia="宋体" w:cs="宋体"/>
          <w:sz w:val="24"/>
        </w:rPr>
      </w:pPr>
      <w:r>
        <w:rPr>
          <w:rFonts w:hint="eastAsia" w:ascii="宋体" w:hAnsi="宋体" w:eastAsia="宋体" w:cs="宋体"/>
          <w:sz w:val="24"/>
        </w:rPr>
        <w:t>详见电梯概况表</w:t>
      </w:r>
    </w:p>
    <w:p>
      <w:pPr>
        <w:ind w:firstLine="480" w:firstLineChars="200"/>
        <w:rPr>
          <w:rFonts w:ascii="宋体" w:hAnsi="宋体" w:eastAsia="宋体" w:cs="宋体"/>
          <w:sz w:val="24"/>
        </w:rPr>
      </w:pPr>
      <w:r>
        <w:rPr>
          <w:rFonts w:hint="eastAsia" w:ascii="宋体" w:hAnsi="宋体" w:eastAsia="宋体" w:cs="宋体"/>
          <w:sz w:val="24"/>
        </w:rPr>
        <w:t>第十五条  附则</w:t>
      </w:r>
    </w:p>
    <w:p>
      <w:pPr>
        <w:ind w:firstLine="480" w:firstLineChars="200"/>
        <w:rPr>
          <w:rFonts w:ascii="宋体" w:hAnsi="宋体" w:eastAsia="宋体" w:cs="宋体"/>
          <w:sz w:val="24"/>
        </w:rPr>
      </w:pPr>
      <w:r>
        <w:rPr>
          <w:rFonts w:hint="eastAsia" w:ascii="宋体" w:hAnsi="宋体" w:eastAsia="宋体" w:cs="宋体"/>
          <w:sz w:val="24"/>
        </w:rPr>
        <w:t>本合同自甲乙双方签字盖章后生效。本合同生效后，双方对合同内容的变更或补充应当采取书面形式，并经双方签字确认，作为本合同的附件。附件与本合同具有同等的法律效力。</w:t>
      </w:r>
    </w:p>
    <w:p>
      <w:pPr>
        <w:ind w:firstLine="480" w:firstLineChars="200"/>
        <w:rPr>
          <w:rFonts w:ascii="宋体" w:hAnsi="宋体" w:eastAsia="宋体" w:cs="宋体"/>
          <w:sz w:val="24"/>
        </w:rPr>
      </w:pPr>
      <w:r>
        <w:rPr>
          <w:rFonts w:hint="eastAsia" w:ascii="宋体" w:hAnsi="宋体" w:eastAsia="宋体" w:cs="宋体"/>
          <w:sz w:val="24"/>
        </w:rPr>
        <w:t>本合同一式捌份，甲方执肆份，乙方执叁份，特种设备监督管理机构执壹份。</w:t>
      </w:r>
    </w:p>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甲方：（签章）                            乙方：（签章）</w:t>
      </w:r>
    </w:p>
    <w:p>
      <w:pPr>
        <w:ind w:firstLine="480" w:firstLineChars="200"/>
        <w:rPr>
          <w:rFonts w:ascii="宋体" w:hAnsi="宋体" w:eastAsia="宋体" w:cs="宋体"/>
          <w:sz w:val="24"/>
        </w:rPr>
      </w:pPr>
      <w:r>
        <w:rPr>
          <w:rFonts w:hint="eastAsia" w:ascii="宋体" w:hAnsi="宋体" w:eastAsia="宋体" w:cs="宋体"/>
          <w:sz w:val="24"/>
        </w:rPr>
        <w:t>法人代表（或授权代理人）：                法人代表（或授权代理人）：</w:t>
      </w:r>
    </w:p>
    <w:p>
      <w:pPr>
        <w:ind w:firstLine="480" w:firstLineChars="200"/>
        <w:rPr>
          <w:rFonts w:ascii="宋体" w:hAnsi="宋体" w:eastAsia="宋体" w:cs="宋体"/>
          <w:sz w:val="24"/>
        </w:rPr>
      </w:pPr>
      <w:r>
        <w:rPr>
          <w:rFonts w:hint="eastAsia" w:ascii="宋体" w:hAnsi="宋体" w:eastAsia="宋体" w:cs="宋体"/>
          <w:sz w:val="24"/>
        </w:rPr>
        <w:t xml:space="preserve">联系电话：                  联系电话： </w:t>
      </w:r>
    </w:p>
    <w:p>
      <w:pPr>
        <w:ind w:firstLine="480" w:firstLineChars="200"/>
        <w:rPr>
          <w:rFonts w:ascii="宋体" w:hAnsi="宋体" w:eastAsia="宋体" w:cs="宋体"/>
          <w:sz w:val="24"/>
        </w:rPr>
      </w:pPr>
      <w:r>
        <w:rPr>
          <w:rFonts w:hint="eastAsia" w:ascii="宋体" w:hAnsi="宋体" w:eastAsia="宋体" w:cs="宋体"/>
          <w:sz w:val="24"/>
        </w:rPr>
        <w:t xml:space="preserve">地址：深圳市福田区福田街道福强路1011号   地址： </w:t>
      </w:r>
    </w:p>
    <w:p>
      <w:pPr>
        <w:ind w:firstLine="960" w:firstLineChars="400"/>
        <w:rPr>
          <w:rFonts w:ascii="宋体" w:hAnsi="宋体" w:eastAsia="宋体" w:cs="宋体"/>
          <w:sz w:val="24"/>
        </w:rPr>
      </w:pPr>
      <w:r>
        <w:rPr>
          <w:rFonts w:hint="eastAsia" w:ascii="宋体" w:hAnsi="宋体" w:eastAsia="宋体" w:cs="宋体"/>
          <w:sz w:val="24"/>
        </w:rPr>
        <w:t xml:space="preserve">年    月    日                           年    月    日   </w:t>
      </w:r>
    </w:p>
    <w:p>
      <w:pPr>
        <w:widowControl/>
        <w:jc w:val="left"/>
        <w:rPr>
          <w:rFonts w:ascii="宋体" w:hAnsi="宋体" w:eastAsia="宋体" w:cs="宋体"/>
          <w:b/>
          <w:sz w:val="24"/>
          <w:u w:val="single"/>
        </w:rPr>
      </w:pPr>
      <w:r>
        <w:rPr>
          <w:rFonts w:hint="eastAsia" w:ascii="宋体" w:hAnsi="宋体" w:eastAsia="宋体" w:cs="宋体"/>
          <w:b/>
          <w:sz w:val="24"/>
          <w:u w:val="single"/>
        </w:rPr>
        <w:br w:type="page"/>
      </w:r>
    </w:p>
    <w:p>
      <w:pPr>
        <w:tabs>
          <w:tab w:val="center" w:pos="4153"/>
          <w:tab w:val="right" w:pos="8306"/>
        </w:tabs>
        <w:jc w:val="center"/>
        <w:rPr>
          <w:rFonts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月份合同履行情况考核评价表</w:t>
      </w:r>
    </w:p>
    <w:p>
      <w:pPr>
        <w:tabs>
          <w:tab w:val="center" w:pos="4153"/>
          <w:tab w:val="right" w:pos="8820"/>
        </w:tabs>
        <w:ind w:left="-540" w:leftChars="-257" w:right="-693" w:rightChars="-330" w:firstLine="480" w:firstLineChars="2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管理处                                        年      月 </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5"/>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pct"/>
            <w:vAlign w:val="center"/>
          </w:tcPr>
          <w:p>
            <w:pPr>
              <w:jc w:val="center"/>
              <w:rPr>
                <w:rFonts w:ascii="宋体" w:hAnsi="宋体" w:eastAsia="宋体" w:cs="宋体"/>
                <w:sz w:val="24"/>
              </w:rPr>
            </w:pPr>
            <w:r>
              <w:rPr>
                <w:rFonts w:hint="eastAsia" w:ascii="宋体" w:hAnsi="宋体" w:eastAsia="宋体" w:cs="宋体"/>
                <w:sz w:val="24"/>
              </w:rPr>
              <w:t>合  同</w:t>
            </w:r>
          </w:p>
        </w:tc>
        <w:tc>
          <w:tcPr>
            <w:tcW w:w="3665" w:type="pct"/>
            <w:vAlign w:val="center"/>
          </w:tcPr>
          <w:p>
            <w:pPr>
              <w:spacing w:line="480" w:lineRule="auto"/>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pct"/>
            <w:vAlign w:val="center"/>
          </w:tcPr>
          <w:p>
            <w:pPr>
              <w:jc w:val="center"/>
              <w:rPr>
                <w:rFonts w:ascii="宋体" w:hAnsi="宋体" w:eastAsia="宋体" w:cs="宋体"/>
                <w:sz w:val="24"/>
              </w:rPr>
            </w:pPr>
            <w:r>
              <w:rPr>
                <w:rFonts w:hint="eastAsia" w:ascii="宋体" w:hAnsi="宋体" w:eastAsia="宋体" w:cs="宋体"/>
                <w:sz w:val="24"/>
              </w:rPr>
              <w:t>服务单位</w:t>
            </w:r>
          </w:p>
        </w:tc>
        <w:tc>
          <w:tcPr>
            <w:tcW w:w="3665" w:type="pct"/>
            <w:vAlign w:val="center"/>
          </w:tcPr>
          <w:p>
            <w:pPr>
              <w:spacing w:line="480" w:lineRule="auto"/>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5000" w:type="pct"/>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管理处意见：</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主管部门意见：</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科室领导意见：</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说明：管理处意见内容应包括：</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1、服务企业是否履行合同约定事项。</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2、对本合同及服务项目的意见及建议。</w:t>
            </w:r>
          </w:p>
        </w:tc>
      </w:tr>
    </w:tbl>
    <w:p>
      <w:pPr>
        <w:ind w:left="588"/>
        <w:textAlignment w:val="baseline"/>
        <w:rPr>
          <w:rFonts w:ascii="宋体" w:hAnsi="宋体" w:eastAsia="宋体" w:cs="宋体"/>
          <w:b/>
          <w:sz w:val="20"/>
        </w:rPr>
        <w:sectPr>
          <w:footerReference r:id="rId8" w:type="first"/>
          <w:pgSz w:w="11906" w:h="16838"/>
          <w:pgMar w:top="1440" w:right="849" w:bottom="1440" w:left="993" w:header="851" w:footer="992" w:gutter="0"/>
          <w:cols w:space="720" w:num="1"/>
          <w:docGrid w:type="lines" w:linePitch="312" w:charSpace="0"/>
        </w:sectPr>
      </w:pPr>
    </w:p>
    <w:p>
      <w:pPr>
        <w:pStyle w:val="4"/>
        <w:jc w:val="center"/>
        <w:rPr>
          <w:rFonts w:hAnsi="宋体" w:cs="宋体"/>
          <w:b/>
          <w:sz w:val="48"/>
          <w:szCs w:val="30"/>
        </w:rPr>
      </w:pPr>
      <w:r>
        <w:rPr>
          <w:rFonts w:hint="eastAsia" w:hAnsi="宋体" w:cs="宋体"/>
          <w:b/>
          <w:sz w:val="48"/>
          <w:szCs w:val="30"/>
        </w:rPr>
        <w:t>2025年度电梯维保服务合同（二）</w:t>
      </w:r>
    </w:p>
    <w:p>
      <w:pPr>
        <w:ind w:firstLine="482" w:firstLineChars="200"/>
        <w:rPr>
          <w:rFonts w:ascii="宋体" w:hAnsi="宋体" w:eastAsia="宋体" w:cs="宋体"/>
          <w:b/>
          <w:sz w:val="24"/>
        </w:rPr>
      </w:pPr>
    </w:p>
    <w:p>
      <w:pPr>
        <w:ind w:firstLine="482" w:firstLineChars="200"/>
        <w:rPr>
          <w:rFonts w:ascii="宋体" w:hAnsi="宋体" w:eastAsia="宋体" w:cs="宋体"/>
          <w:b/>
          <w:sz w:val="24"/>
        </w:rPr>
      </w:pPr>
      <w:r>
        <w:rPr>
          <w:rFonts w:hint="eastAsia" w:ascii="宋体" w:hAnsi="宋体" w:eastAsia="宋体" w:cs="宋体"/>
          <w:b/>
          <w:sz w:val="24"/>
        </w:rPr>
        <w:t>甲方：深圳市深海悦物业管理服务有限公司</w:t>
      </w:r>
    </w:p>
    <w:p>
      <w:pPr>
        <w:ind w:firstLine="482" w:firstLineChars="200"/>
        <w:rPr>
          <w:rFonts w:ascii="宋体" w:hAnsi="宋体" w:eastAsia="宋体" w:cs="宋体"/>
          <w:b/>
          <w:sz w:val="24"/>
        </w:rPr>
      </w:pPr>
      <w:r>
        <w:rPr>
          <w:rFonts w:hint="eastAsia" w:ascii="宋体" w:hAnsi="宋体" w:eastAsia="宋体" w:cs="宋体"/>
          <w:b/>
          <w:sz w:val="24"/>
        </w:rPr>
        <w:t xml:space="preserve">乙方： </w:t>
      </w:r>
    </w:p>
    <w:p>
      <w:pPr>
        <w:ind w:firstLine="480" w:firstLineChars="200"/>
        <w:rPr>
          <w:rFonts w:ascii="宋体" w:hAnsi="宋体" w:eastAsia="宋体" w:cs="宋体"/>
          <w:sz w:val="24"/>
        </w:rPr>
      </w:pPr>
      <w:r>
        <w:rPr>
          <w:rFonts w:hint="eastAsia" w:ascii="宋体" w:hAnsi="宋体" w:eastAsia="宋体" w:cs="宋体"/>
          <w:sz w:val="24"/>
        </w:rPr>
        <w:t>甲乙双方本着友好协商、公平、互利的原则，就电梯日常维护保养和维修的有关事宜协商一致订立本合同。</w:t>
      </w:r>
    </w:p>
    <w:p>
      <w:pPr>
        <w:numPr>
          <w:ilvl w:val="0"/>
          <w:numId w:val="36"/>
        </w:numPr>
        <w:spacing w:line="360" w:lineRule="auto"/>
        <w:ind w:left="0" w:firstLine="200"/>
        <w:rPr>
          <w:rFonts w:ascii="宋体" w:hAnsi="宋体" w:eastAsia="宋体" w:cs="宋体"/>
          <w:sz w:val="24"/>
        </w:rPr>
      </w:pPr>
      <w:r>
        <w:rPr>
          <w:rFonts w:hint="eastAsia" w:ascii="宋体" w:hAnsi="宋体" w:eastAsia="宋体" w:cs="宋体"/>
          <w:sz w:val="24"/>
        </w:rPr>
        <w:t>电梯概况</w:t>
      </w:r>
    </w:p>
    <w:tbl>
      <w:tblPr>
        <w:tblStyle w:val="86"/>
        <w:tblW w:w="48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867"/>
        <w:gridCol w:w="1159"/>
        <w:gridCol w:w="1096"/>
        <w:gridCol w:w="1341"/>
        <w:gridCol w:w="924"/>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73" w:type="pct"/>
            <w:vMerge w:val="restar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梯号</w:t>
            </w:r>
          </w:p>
        </w:tc>
        <w:tc>
          <w:tcPr>
            <w:tcW w:w="1547" w:type="pct"/>
            <w:vMerge w:val="restar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设备代码</w:t>
            </w:r>
          </w:p>
        </w:tc>
        <w:tc>
          <w:tcPr>
            <w:tcW w:w="625" w:type="pc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电梯品牌</w:t>
            </w:r>
          </w:p>
        </w:tc>
        <w:tc>
          <w:tcPr>
            <w:tcW w:w="592" w:type="pc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电梯：</w:t>
            </w:r>
          </w:p>
        </w:tc>
        <w:tc>
          <w:tcPr>
            <w:tcW w:w="723" w:type="pct"/>
            <w:vMerge w:val="restar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运行地点</w:t>
            </w:r>
          </w:p>
        </w:tc>
        <w:tc>
          <w:tcPr>
            <w:tcW w:w="499" w:type="pct"/>
            <w:vMerge w:val="restar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最高限价(元/年</w:t>
            </w:r>
          </w:p>
        </w:tc>
        <w:tc>
          <w:tcPr>
            <w:tcW w:w="737" w:type="pct"/>
            <w:vMerge w:val="restar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273" w:type="pct"/>
            <w:vMerge w:val="continue"/>
            <w:shd w:val="clear" w:color="auto" w:fill="auto"/>
            <w:vAlign w:val="center"/>
          </w:tcPr>
          <w:p>
            <w:pPr>
              <w:jc w:val="center"/>
              <w:rPr>
                <w:rFonts w:ascii="宋体" w:hAnsi="宋体" w:eastAsia="宋体" w:cs="宋体"/>
                <w:b/>
                <w:bCs/>
                <w:szCs w:val="21"/>
              </w:rPr>
            </w:pPr>
          </w:p>
        </w:tc>
        <w:tc>
          <w:tcPr>
            <w:tcW w:w="1547" w:type="pct"/>
            <w:vMerge w:val="continue"/>
            <w:shd w:val="clear" w:color="auto" w:fill="auto"/>
            <w:vAlign w:val="center"/>
          </w:tcPr>
          <w:p>
            <w:pPr>
              <w:jc w:val="center"/>
              <w:rPr>
                <w:rFonts w:ascii="宋体" w:hAnsi="宋体" w:eastAsia="宋体" w:cs="宋体"/>
                <w:b/>
                <w:bCs/>
                <w:szCs w:val="21"/>
              </w:rPr>
            </w:pPr>
          </w:p>
        </w:tc>
        <w:tc>
          <w:tcPr>
            <w:tcW w:w="625" w:type="pc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规格型号</w:t>
            </w:r>
          </w:p>
        </w:tc>
        <w:tc>
          <w:tcPr>
            <w:tcW w:w="592" w:type="pct"/>
            <w:shd w:val="clear" w:color="000000" w:fill="FFFFFF"/>
            <w:vAlign w:val="center"/>
          </w:tcPr>
          <w:p>
            <w:pPr>
              <w:jc w:val="center"/>
              <w:rPr>
                <w:rFonts w:ascii="宋体" w:hAnsi="宋体" w:eastAsia="宋体" w:cs="宋体"/>
                <w:b/>
                <w:bCs/>
                <w:szCs w:val="21"/>
              </w:rPr>
            </w:pPr>
            <w:r>
              <w:rPr>
                <w:rFonts w:hint="eastAsia" w:ascii="宋体" w:hAnsi="宋体" w:eastAsia="宋体" w:cs="宋体"/>
                <w:b/>
                <w:bCs/>
                <w:szCs w:val="21"/>
              </w:rPr>
              <w:t>层/站</w:t>
            </w:r>
          </w:p>
        </w:tc>
        <w:tc>
          <w:tcPr>
            <w:tcW w:w="723" w:type="pct"/>
            <w:vMerge w:val="continue"/>
            <w:vAlign w:val="center"/>
          </w:tcPr>
          <w:p>
            <w:pPr>
              <w:jc w:val="center"/>
              <w:rPr>
                <w:rFonts w:ascii="宋体" w:hAnsi="宋体" w:eastAsia="宋体" w:cs="宋体"/>
                <w:b/>
                <w:bCs/>
                <w:szCs w:val="21"/>
              </w:rPr>
            </w:pPr>
          </w:p>
        </w:tc>
        <w:tc>
          <w:tcPr>
            <w:tcW w:w="499" w:type="pct"/>
            <w:vMerge w:val="continue"/>
            <w:vAlign w:val="center"/>
          </w:tcPr>
          <w:p>
            <w:pPr>
              <w:jc w:val="center"/>
              <w:rPr>
                <w:rFonts w:ascii="宋体" w:hAnsi="宋体" w:eastAsia="宋体" w:cs="宋体"/>
                <w:b/>
                <w:bCs/>
                <w:szCs w:val="21"/>
              </w:rPr>
            </w:pPr>
          </w:p>
        </w:tc>
        <w:tc>
          <w:tcPr>
            <w:tcW w:w="737" w:type="pct"/>
            <w:vMerge w:val="continue"/>
            <w:vAlign w:val="center"/>
          </w:tcPr>
          <w:p>
            <w:pPr>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3"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1</w:t>
            </w:r>
          </w:p>
        </w:tc>
        <w:tc>
          <w:tcPr>
            <w:tcW w:w="1547"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30104403001999060859</w:t>
            </w:r>
          </w:p>
        </w:tc>
        <w:tc>
          <w:tcPr>
            <w:tcW w:w="625"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三菱GPS-III</w:t>
            </w:r>
          </w:p>
        </w:tc>
        <w:tc>
          <w:tcPr>
            <w:tcW w:w="592"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10层/10站</w:t>
            </w:r>
          </w:p>
        </w:tc>
        <w:tc>
          <w:tcPr>
            <w:tcW w:w="723" w:type="pct"/>
            <w:vMerge w:val="restar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深圳市罗湖区和平路1087号（深圳海关缉私局办公区）</w:t>
            </w:r>
          </w:p>
        </w:tc>
        <w:tc>
          <w:tcPr>
            <w:tcW w:w="499"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8400.00</w:t>
            </w:r>
          </w:p>
        </w:tc>
        <w:tc>
          <w:tcPr>
            <w:tcW w:w="737" w:type="pct"/>
            <w:vMerge w:val="restar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2025.1.1-2025.12.31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73"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2</w:t>
            </w:r>
          </w:p>
        </w:tc>
        <w:tc>
          <w:tcPr>
            <w:tcW w:w="1547"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30104403001999060860</w:t>
            </w:r>
          </w:p>
        </w:tc>
        <w:tc>
          <w:tcPr>
            <w:tcW w:w="625"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三菱GPS-III</w:t>
            </w:r>
          </w:p>
        </w:tc>
        <w:tc>
          <w:tcPr>
            <w:tcW w:w="592" w:type="pct"/>
            <w:shd w:val="clear" w:color="000000" w:fill="FFFFFF"/>
            <w:vAlign w:val="center"/>
          </w:tcPr>
          <w:p>
            <w:pPr>
              <w:jc w:val="center"/>
              <w:rPr>
                <w:rFonts w:ascii="宋体" w:hAnsi="宋体" w:eastAsia="宋体" w:cs="宋体"/>
                <w:szCs w:val="21"/>
              </w:rPr>
            </w:pPr>
            <w:r>
              <w:rPr>
                <w:rFonts w:hint="eastAsia" w:ascii="宋体" w:hAnsi="宋体" w:eastAsia="宋体" w:cs="宋体"/>
                <w:szCs w:val="21"/>
              </w:rPr>
              <w:t>10层/10站</w:t>
            </w:r>
          </w:p>
        </w:tc>
        <w:tc>
          <w:tcPr>
            <w:tcW w:w="723" w:type="pct"/>
            <w:vMerge w:val="continue"/>
            <w:vAlign w:val="center"/>
          </w:tcPr>
          <w:p>
            <w:pPr>
              <w:jc w:val="left"/>
              <w:rPr>
                <w:rFonts w:ascii="宋体" w:hAnsi="宋体" w:eastAsia="宋体" w:cs="宋体"/>
                <w:szCs w:val="21"/>
              </w:rPr>
            </w:pPr>
          </w:p>
        </w:tc>
        <w:tc>
          <w:tcPr>
            <w:tcW w:w="499" w:type="pct"/>
            <w:vAlign w:val="center"/>
          </w:tcPr>
          <w:p>
            <w:pPr>
              <w:jc w:val="center"/>
              <w:rPr>
                <w:rFonts w:ascii="宋体" w:hAnsi="宋体" w:eastAsia="宋体" w:cs="宋体"/>
                <w:szCs w:val="21"/>
              </w:rPr>
            </w:pPr>
            <w:r>
              <w:rPr>
                <w:rFonts w:hint="eastAsia" w:ascii="宋体" w:hAnsi="宋体" w:eastAsia="宋体" w:cs="宋体"/>
                <w:szCs w:val="21"/>
              </w:rPr>
              <w:t>8400.00</w:t>
            </w:r>
          </w:p>
        </w:tc>
        <w:tc>
          <w:tcPr>
            <w:tcW w:w="737" w:type="pct"/>
            <w:vMerge w:val="continue"/>
            <w:vAlign w:val="center"/>
          </w:tcPr>
          <w:p>
            <w:pPr>
              <w:jc w:val="left"/>
              <w:rPr>
                <w:rFonts w:ascii="宋体" w:hAnsi="宋体" w:eastAsia="宋体" w:cs="宋体"/>
                <w:szCs w:val="21"/>
              </w:rPr>
            </w:pPr>
          </w:p>
        </w:tc>
      </w:tr>
    </w:tbl>
    <w:p>
      <w:pPr>
        <w:numPr>
          <w:ilvl w:val="0"/>
          <w:numId w:val="36"/>
        </w:numPr>
        <w:spacing w:line="360" w:lineRule="auto"/>
        <w:ind w:left="0" w:firstLine="480" w:firstLineChars="200"/>
        <w:rPr>
          <w:rFonts w:ascii="宋体" w:hAnsi="宋体" w:eastAsia="宋体" w:cs="宋体"/>
          <w:sz w:val="24"/>
        </w:rPr>
      </w:pPr>
      <w:r>
        <w:rPr>
          <w:rFonts w:hint="eastAsia" w:ascii="宋体" w:hAnsi="宋体" w:eastAsia="宋体" w:cs="宋体"/>
          <w:sz w:val="24"/>
        </w:rPr>
        <w:t>电梯保养的内容和标准</w:t>
      </w:r>
    </w:p>
    <w:p>
      <w:pPr>
        <w:ind w:firstLine="480" w:firstLineChars="200"/>
        <w:rPr>
          <w:rFonts w:ascii="宋体" w:hAnsi="宋体" w:eastAsia="宋体" w:cs="宋体"/>
          <w:sz w:val="24"/>
        </w:rPr>
      </w:pPr>
      <w:r>
        <w:rPr>
          <w:rFonts w:hint="eastAsia" w:ascii="宋体" w:hAnsi="宋体" w:eastAsia="宋体" w:cs="宋体"/>
          <w:sz w:val="24"/>
        </w:rPr>
        <w:t>1、乙方应对电梯的现状进行详细的检查，检查结果由甲方签字确认后，根据电梯的现状，乙方应根据《电梯日常维护保养规则》完成15日、季度、半年、年保养项目，做好维护保养记录（见附件二）等，提出具体的电梯保养要求和方案供甲方参考，双方以此约定电梯日常保养和维修的具体内容。</w:t>
      </w:r>
    </w:p>
    <w:p>
      <w:pPr>
        <w:ind w:firstLine="480" w:firstLineChars="200"/>
        <w:rPr>
          <w:rFonts w:ascii="宋体" w:hAnsi="宋体" w:eastAsia="宋体" w:cs="宋体"/>
          <w:sz w:val="24"/>
        </w:rPr>
      </w:pPr>
      <w:r>
        <w:rPr>
          <w:rFonts w:hint="eastAsia" w:ascii="宋体" w:hAnsi="宋体" w:eastAsia="宋体" w:cs="宋体"/>
          <w:sz w:val="24"/>
        </w:rPr>
        <w:t>2、实施保养后的电梯应当符合《电梯维修规范》（GB/T18775）《电梯制造与安装安全规范》（GB 7588）和《自动扶梯和自动人行道的制造与安装安全规范》（GB 16899）的相关规定。</w:t>
      </w:r>
    </w:p>
    <w:p>
      <w:pPr>
        <w:ind w:firstLine="480" w:firstLineChars="200"/>
        <w:rPr>
          <w:rFonts w:ascii="宋体" w:hAnsi="宋体" w:eastAsia="宋体" w:cs="宋体"/>
          <w:sz w:val="24"/>
        </w:rPr>
      </w:pPr>
      <w:r>
        <w:rPr>
          <w:rFonts w:hint="eastAsia" w:ascii="宋体" w:hAnsi="宋体" w:eastAsia="宋体" w:cs="宋体"/>
          <w:sz w:val="24"/>
        </w:rPr>
        <w:t>第三条  合同总金额：</w:t>
      </w:r>
    </w:p>
    <w:p>
      <w:pPr>
        <w:ind w:firstLine="482" w:firstLineChars="200"/>
        <w:rPr>
          <w:rFonts w:ascii="宋体" w:hAnsi="宋体" w:eastAsia="宋体" w:cs="宋体"/>
          <w:b/>
          <w:sz w:val="24"/>
        </w:rPr>
      </w:pPr>
      <w:r>
        <w:rPr>
          <w:rFonts w:hint="eastAsia" w:ascii="宋体" w:hAnsi="宋体" w:eastAsia="宋体" w:cs="宋体"/>
          <w:b/>
          <w:sz w:val="24"/>
        </w:rPr>
        <w:t>人民币    （￥       ）</w:t>
      </w:r>
    </w:p>
    <w:p>
      <w:pPr>
        <w:ind w:firstLine="480" w:firstLineChars="200"/>
        <w:rPr>
          <w:rFonts w:ascii="宋体" w:hAnsi="宋体" w:eastAsia="宋体" w:cs="宋体"/>
          <w:sz w:val="24"/>
        </w:rPr>
      </w:pPr>
      <w:r>
        <w:rPr>
          <w:rFonts w:hint="eastAsia" w:ascii="宋体" w:hAnsi="宋体" w:eastAsia="宋体" w:cs="宋体"/>
          <w:sz w:val="24"/>
          <w:szCs w:val="24"/>
        </w:rPr>
        <w:t xml:space="preserve">该项目为长期服务项目，合同一年一签，但最长不超过3年，甲方根据乙方履约情况，评估确定是否续签第二年合同，第三年以此类推。 </w:t>
      </w:r>
    </w:p>
    <w:p>
      <w:pPr>
        <w:ind w:firstLine="480" w:firstLineChars="200"/>
        <w:rPr>
          <w:rFonts w:ascii="宋体" w:hAnsi="宋体" w:eastAsia="宋体" w:cs="宋体"/>
          <w:sz w:val="24"/>
        </w:rPr>
      </w:pPr>
      <w:r>
        <w:rPr>
          <w:rFonts w:hint="eastAsia" w:ascii="宋体" w:hAnsi="宋体" w:eastAsia="宋体" w:cs="宋体"/>
          <w:sz w:val="24"/>
        </w:rPr>
        <w:t>第四条  付款方式：</w:t>
      </w:r>
    </w:p>
    <w:p>
      <w:pPr>
        <w:numPr>
          <w:ilvl w:val="0"/>
          <w:numId w:val="37"/>
        </w:numPr>
        <w:spacing w:line="360" w:lineRule="auto"/>
        <w:ind w:left="0" w:firstLine="480" w:firstLineChars="200"/>
        <w:rPr>
          <w:rFonts w:ascii="宋体" w:hAnsi="宋体" w:eastAsia="宋体" w:cs="宋体"/>
          <w:sz w:val="24"/>
        </w:rPr>
      </w:pPr>
      <w:r>
        <w:rPr>
          <w:rFonts w:hint="eastAsia" w:ascii="宋体" w:hAnsi="宋体" w:eastAsia="宋体" w:cs="宋体"/>
          <w:sz w:val="24"/>
        </w:rPr>
        <w:t>乙方按月履约完成维保服务后开具发票给甲方，甲方按月考核乙方电梯维保质量并填写《电梯维保考核表》作为支付乙方电梯维保费用依据，在收到乙方提供的有效增值税专用发票后10个工作日内以银行转账的方式支付。当委托维保服务的电梯数量发生变化时，以实际结算为准。</w:t>
      </w:r>
    </w:p>
    <w:p>
      <w:pPr>
        <w:numPr>
          <w:ilvl w:val="0"/>
          <w:numId w:val="37"/>
        </w:numPr>
        <w:spacing w:line="360" w:lineRule="auto"/>
        <w:ind w:left="0" w:firstLine="480" w:firstLineChars="200"/>
        <w:rPr>
          <w:rFonts w:ascii="宋体" w:hAnsi="宋体" w:eastAsia="宋体" w:cs="宋体"/>
          <w:sz w:val="24"/>
        </w:rPr>
      </w:pPr>
      <w:r>
        <w:rPr>
          <w:rFonts w:hint="eastAsia" w:ascii="宋体" w:hAnsi="宋体" w:eastAsia="宋体" w:cs="宋体"/>
          <w:sz w:val="24"/>
        </w:rPr>
        <w:t>乙方银行转账信息：</w:t>
      </w:r>
    </w:p>
    <w:p>
      <w:pPr>
        <w:ind w:firstLine="480" w:firstLineChars="200"/>
        <w:rPr>
          <w:rFonts w:ascii="宋体" w:hAnsi="宋体" w:eastAsia="宋体" w:cs="宋体"/>
          <w:sz w:val="24"/>
        </w:rPr>
      </w:pPr>
      <w:r>
        <w:rPr>
          <w:rFonts w:hint="eastAsia" w:ascii="宋体" w:hAnsi="宋体" w:eastAsia="宋体" w:cs="宋体"/>
          <w:sz w:val="24"/>
        </w:rPr>
        <w:t xml:space="preserve">开户银行： </w:t>
      </w:r>
    </w:p>
    <w:p>
      <w:pPr>
        <w:ind w:firstLine="480" w:firstLineChars="200"/>
        <w:rPr>
          <w:rFonts w:ascii="宋体" w:hAnsi="宋体" w:eastAsia="宋体" w:cs="宋体"/>
          <w:sz w:val="24"/>
        </w:rPr>
      </w:pPr>
      <w:r>
        <w:rPr>
          <w:rFonts w:hint="eastAsia" w:ascii="宋体" w:hAnsi="宋体" w:eastAsia="宋体" w:cs="宋体"/>
          <w:sz w:val="24"/>
        </w:rPr>
        <w:t xml:space="preserve">账号： </w:t>
      </w:r>
    </w:p>
    <w:p>
      <w:pPr>
        <w:ind w:firstLine="480" w:firstLineChars="200"/>
        <w:rPr>
          <w:rFonts w:ascii="宋体" w:hAnsi="宋体" w:eastAsia="宋体" w:cs="宋体"/>
          <w:sz w:val="24"/>
        </w:rPr>
      </w:pPr>
      <w:r>
        <w:rPr>
          <w:rFonts w:hint="eastAsia" w:ascii="宋体" w:hAnsi="宋体" w:eastAsia="宋体" w:cs="宋体"/>
          <w:sz w:val="24"/>
        </w:rPr>
        <w:t>第五条  电梯保养材料费</w:t>
      </w:r>
    </w:p>
    <w:p>
      <w:pPr>
        <w:ind w:firstLine="480" w:firstLineChars="200"/>
        <w:rPr>
          <w:rFonts w:ascii="宋体" w:hAnsi="宋体" w:eastAsia="宋体" w:cs="宋体"/>
          <w:sz w:val="24"/>
        </w:rPr>
      </w:pPr>
      <w:r>
        <w:rPr>
          <w:rFonts w:hint="eastAsia" w:ascii="宋体" w:hAnsi="宋体" w:eastAsia="宋体" w:cs="宋体"/>
          <w:sz w:val="24"/>
        </w:rPr>
        <w:t>2、本合同约定：材料及零配件费用在400元以下的，由乙方承担。400元（含本数）以上的，由甲方承担。乙方在维护保养电梯时，对任何需要甲方支付费用的工程项目及零件更换，应列出维修项目、维修费用，以不高于市场价的零配件报价形式发书面通知甲方（400元以内配件免费，不需报价），经甲方签字许可后，乙方方可进行。电梯年检费及5年一次的载荷试验（含制动试验）及2年一次的限速器检测费用由甲方支付。</w:t>
      </w:r>
    </w:p>
    <w:p>
      <w:pPr>
        <w:ind w:firstLine="480" w:firstLineChars="200"/>
        <w:rPr>
          <w:rFonts w:ascii="宋体" w:hAnsi="宋体" w:eastAsia="宋体" w:cs="宋体"/>
          <w:sz w:val="24"/>
        </w:rPr>
      </w:pPr>
      <w:r>
        <w:rPr>
          <w:rFonts w:hint="eastAsia" w:ascii="宋体" w:hAnsi="宋体" w:eastAsia="宋体" w:cs="宋体"/>
          <w:sz w:val="24"/>
        </w:rPr>
        <w:t>第六条  乙方负责全年365天24小时紧急救援服务，24小时紧急救援服务热线电话。</w:t>
      </w:r>
    </w:p>
    <w:p>
      <w:pPr>
        <w:ind w:firstLine="480" w:firstLineChars="200"/>
        <w:rPr>
          <w:rFonts w:ascii="宋体" w:hAnsi="宋体" w:eastAsia="宋体" w:cs="宋体"/>
          <w:sz w:val="24"/>
        </w:rPr>
      </w:pPr>
      <w:r>
        <w:rPr>
          <w:rFonts w:hint="eastAsia" w:ascii="宋体" w:hAnsi="宋体" w:eastAsia="宋体" w:cs="宋体"/>
          <w:sz w:val="24"/>
        </w:rPr>
        <w:t>第七条 驻场服务</w:t>
      </w:r>
    </w:p>
    <w:p>
      <w:pPr>
        <w:ind w:firstLine="480" w:firstLineChars="200"/>
        <w:rPr>
          <w:rFonts w:ascii="宋体" w:hAnsi="宋体" w:eastAsia="宋体" w:cs="宋体"/>
          <w:sz w:val="24"/>
        </w:rPr>
      </w:pPr>
      <w:r>
        <w:rPr>
          <w:rFonts w:hint="eastAsia" w:ascii="宋体" w:hAnsi="宋体" w:eastAsia="宋体" w:cs="宋体"/>
          <w:sz w:val="24"/>
        </w:rPr>
        <w:t>根据甲方会务、贵宾接待需要，乙方接到甲方通知后必须提供驻场作业服务（驻场费用已经包含在电梯保养费中）。</w:t>
      </w:r>
    </w:p>
    <w:p>
      <w:pPr>
        <w:ind w:firstLine="480" w:firstLineChars="200"/>
        <w:rPr>
          <w:rFonts w:ascii="宋体" w:hAnsi="宋体" w:eastAsia="宋体" w:cs="宋体"/>
          <w:sz w:val="24"/>
        </w:rPr>
      </w:pPr>
      <w:r>
        <w:rPr>
          <w:rFonts w:hint="eastAsia" w:ascii="宋体" w:hAnsi="宋体" w:eastAsia="宋体" w:cs="宋体"/>
          <w:sz w:val="24"/>
        </w:rPr>
        <w:t>驻场作业人员职责：</w:t>
      </w:r>
    </w:p>
    <w:p>
      <w:pPr>
        <w:ind w:firstLine="480" w:firstLineChars="200"/>
        <w:rPr>
          <w:rFonts w:ascii="宋体" w:hAnsi="宋体" w:eastAsia="宋体" w:cs="宋体"/>
          <w:sz w:val="24"/>
        </w:rPr>
      </w:pPr>
      <w:r>
        <w:rPr>
          <w:rFonts w:hint="eastAsia" w:ascii="宋体" w:hAnsi="宋体" w:eastAsia="宋体" w:cs="宋体"/>
          <w:sz w:val="24"/>
        </w:rPr>
        <w:t>1、服从甲方的相关现场作业人员管理规定。</w:t>
      </w:r>
    </w:p>
    <w:p>
      <w:pPr>
        <w:ind w:firstLine="480" w:firstLineChars="200"/>
        <w:rPr>
          <w:rFonts w:ascii="宋体" w:hAnsi="宋体" w:eastAsia="宋体" w:cs="宋体"/>
          <w:sz w:val="24"/>
        </w:rPr>
      </w:pPr>
      <w:r>
        <w:rPr>
          <w:rFonts w:hint="eastAsia" w:ascii="宋体" w:hAnsi="宋体" w:eastAsia="宋体" w:cs="宋体"/>
          <w:sz w:val="24"/>
        </w:rPr>
        <w:t>2、承担二十四小时现场困人紧急救援工作。</w:t>
      </w:r>
    </w:p>
    <w:p>
      <w:pPr>
        <w:ind w:firstLine="480" w:firstLineChars="200"/>
        <w:rPr>
          <w:rFonts w:ascii="宋体" w:hAnsi="宋体" w:eastAsia="宋体" w:cs="宋体"/>
          <w:sz w:val="24"/>
        </w:rPr>
      </w:pPr>
      <w:r>
        <w:rPr>
          <w:rFonts w:hint="eastAsia" w:ascii="宋体" w:hAnsi="宋体" w:eastAsia="宋体" w:cs="宋体"/>
          <w:sz w:val="24"/>
        </w:rPr>
        <w:t>3、按照合同约定完成合同中的电梯保养工作内容。</w:t>
      </w:r>
    </w:p>
    <w:p>
      <w:pPr>
        <w:ind w:firstLine="480" w:firstLineChars="200"/>
        <w:rPr>
          <w:rFonts w:ascii="宋体" w:hAnsi="宋体" w:eastAsia="宋体" w:cs="宋体"/>
          <w:sz w:val="24"/>
        </w:rPr>
      </w:pPr>
      <w:r>
        <w:rPr>
          <w:rFonts w:hint="eastAsia" w:ascii="宋体" w:hAnsi="宋体" w:eastAsia="宋体" w:cs="宋体"/>
          <w:sz w:val="24"/>
        </w:rPr>
        <w:t>第八条  甲方权利、义务</w:t>
      </w:r>
    </w:p>
    <w:p>
      <w:pPr>
        <w:ind w:firstLine="480" w:firstLineChars="200"/>
        <w:rPr>
          <w:rFonts w:ascii="宋体" w:hAnsi="宋体" w:eastAsia="宋体" w:cs="宋体"/>
          <w:sz w:val="24"/>
        </w:rPr>
      </w:pPr>
      <w:r>
        <w:rPr>
          <w:rFonts w:hint="eastAsia" w:ascii="宋体" w:hAnsi="宋体" w:eastAsia="宋体" w:cs="宋体"/>
          <w:sz w:val="24"/>
        </w:rPr>
        <w:t>（一）权利</w:t>
      </w:r>
    </w:p>
    <w:p>
      <w:pPr>
        <w:ind w:firstLine="480" w:firstLineChars="200"/>
        <w:rPr>
          <w:rFonts w:ascii="宋体" w:hAnsi="宋体" w:eastAsia="宋体" w:cs="宋体"/>
          <w:sz w:val="24"/>
        </w:rPr>
      </w:pPr>
      <w:r>
        <w:rPr>
          <w:rFonts w:hint="eastAsia" w:ascii="宋体" w:hAnsi="宋体" w:eastAsia="宋体" w:cs="宋体"/>
          <w:sz w:val="24"/>
        </w:rPr>
        <w:t>1、有权监督乙方按照合同约定履行维护保养义务，发出故障通知或提出建议。</w:t>
      </w:r>
    </w:p>
    <w:p>
      <w:pPr>
        <w:ind w:firstLine="480" w:firstLineChars="200"/>
        <w:rPr>
          <w:rFonts w:ascii="宋体" w:hAnsi="宋体" w:eastAsia="宋体" w:cs="宋体"/>
          <w:sz w:val="24"/>
        </w:rPr>
      </w:pPr>
      <w:r>
        <w:rPr>
          <w:rFonts w:hint="eastAsia" w:ascii="宋体" w:hAnsi="宋体" w:eastAsia="宋体" w:cs="宋体"/>
          <w:sz w:val="24"/>
        </w:rPr>
        <w:t>2、有权要求乙方保障电梯的正常运行。乙方的维护保养达不到合同约定的维护保养标准或要求的，甲方有权拒绝在维护保养记录上签字。</w:t>
      </w:r>
    </w:p>
    <w:p>
      <w:pPr>
        <w:ind w:firstLine="480" w:firstLineChars="200"/>
        <w:rPr>
          <w:rFonts w:ascii="宋体" w:hAnsi="宋体" w:eastAsia="宋体" w:cs="宋体"/>
          <w:sz w:val="24"/>
        </w:rPr>
      </w:pPr>
      <w:r>
        <w:rPr>
          <w:rFonts w:hint="eastAsia" w:ascii="宋体" w:hAnsi="宋体" w:eastAsia="宋体" w:cs="宋体"/>
          <w:sz w:val="24"/>
        </w:rPr>
        <w:t>3、有权对乙方单方面违反合同约定进行处罚。</w:t>
      </w:r>
    </w:p>
    <w:p>
      <w:pPr>
        <w:ind w:firstLine="480" w:firstLineChars="200"/>
        <w:rPr>
          <w:rFonts w:ascii="宋体" w:hAnsi="宋体" w:eastAsia="宋体" w:cs="宋体"/>
          <w:sz w:val="24"/>
        </w:rPr>
      </w:pPr>
      <w:r>
        <w:rPr>
          <w:rFonts w:hint="eastAsia" w:ascii="宋体" w:hAnsi="宋体" w:eastAsia="宋体" w:cs="宋体"/>
          <w:sz w:val="24"/>
        </w:rPr>
        <w:t>（二）义务</w:t>
      </w:r>
    </w:p>
    <w:p>
      <w:pPr>
        <w:ind w:firstLine="480" w:firstLineChars="200"/>
        <w:rPr>
          <w:rFonts w:ascii="宋体" w:hAnsi="宋体" w:eastAsia="宋体" w:cs="宋体"/>
          <w:sz w:val="24"/>
        </w:rPr>
      </w:pPr>
      <w:r>
        <w:rPr>
          <w:rFonts w:hint="eastAsia" w:ascii="宋体" w:hAnsi="宋体" w:eastAsia="宋体" w:cs="宋体"/>
          <w:sz w:val="24"/>
        </w:rPr>
        <w:t>1、建立电梯安全运行管理制度，保证电梯的用电、消防、防雷、通风、通道、电话通讯、监控摄像和报警装置等系统安全可靠；并保证机房、井道、底坑无漏水、渗水现象，通往机房、底坑、滑轮间、井道安全门的通道畅通、照明充分。甲方的电梯监控室值班人员负责故障的统计。电梯发生故障时，及时通知乙方抢修，并应详细记录相关工作的具体时间。</w:t>
      </w:r>
    </w:p>
    <w:p>
      <w:pPr>
        <w:ind w:firstLine="480" w:firstLineChars="200"/>
        <w:rPr>
          <w:rFonts w:ascii="宋体" w:hAnsi="宋体" w:eastAsia="宋体" w:cs="宋体"/>
          <w:sz w:val="24"/>
        </w:rPr>
      </w:pPr>
      <w:r>
        <w:rPr>
          <w:rFonts w:hint="eastAsia" w:ascii="宋体" w:hAnsi="宋体" w:eastAsia="宋体" w:cs="宋体"/>
          <w:sz w:val="24"/>
        </w:rPr>
        <w:t>2、配备电梯安全管理人员负责电梯的日常安全管理：</w:t>
      </w:r>
    </w:p>
    <w:p>
      <w:pPr>
        <w:ind w:firstLine="480" w:firstLineChars="200"/>
        <w:rPr>
          <w:rFonts w:ascii="宋体" w:hAnsi="宋体" w:eastAsia="宋体" w:cs="宋体"/>
          <w:sz w:val="24"/>
        </w:rPr>
      </w:pPr>
      <w:r>
        <w:rPr>
          <w:rFonts w:hint="eastAsia" w:ascii="宋体" w:hAnsi="宋体" w:eastAsia="宋体" w:cs="宋体"/>
          <w:sz w:val="24"/>
        </w:rPr>
        <w:t>（1）负责电梯的使用管理；</w:t>
      </w:r>
    </w:p>
    <w:p>
      <w:pPr>
        <w:ind w:firstLine="480" w:firstLineChars="200"/>
        <w:rPr>
          <w:rFonts w:ascii="宋体" w:hAnsi="宋体" w:eastAsia="宋体" w:cs="宋体"/>
          <w:sz w:val="24"/>
        </w:rPr>
      </w:pPr>
      <w:r>
        <w:rPr>
          <w:rFonts w:hint="eastAsia" w:ascii="宋体" w:hAnsi="宋体" w:eastAsia="宋体" w:cs="宋体"/>
          <w:sz w:val="24"/>
        </w:rPr>
        <w:t>（2）负责对乙方的维护保养记录、修理记录签字确认；</w:t>
      </w:r>
    </w:p>
    <w:p>
      <w:pPr>
        <w:ind w:firstLine="480" w:firstLineChars="200"/>
        <w:rPr>
          <w:rFonts w:ascii="宋体" w:hAnsi="宋体" w:eastAsia="宋体" w:cs="宋体"/>
          <w:sz w:val="24"/>
        </w:rPr>
      </w:pPr>
      <w:r>
        <w:rPr>
          <w:rFonts w:hint="eastAsia" w:ascii="宋体" w:hAnsi="宋体" w:eastAsia="宋体" w:cs="宋体"/>
          <w:sz w:val="24"/>
        </w:rPr>
        <w:t>（3）负责对乙方提交的电梯安全隐患提示单签字确认。</w:t>
      </w:r>
    </w:p>
    <w:p>
      <w:pPr>
        <w:ind w:firstLine="480" w:firstLineChars="200"/>
        <w:rPr>
          <w:rFonts w:ascii="宋体" w:hAnsi="宋体" w:eastAsia="宋体" w:cs="宋体"/>
          <w:sz w:val="24"/>
        </w:rPr>
      </w:pPr>
      <w:r>
        <w:rPr>
          <w:rFonts w:hint="eastAsia" w:ascii="宋体" w:hAnsi="宋体" w:eastAsia="宋体" w:cs="宋体"/>
          <w:sz w:val="24"/>
        </w:rPr>
        <w:t>（4）如果更换电梯安全管理人员，应当及时通知乙方。</w:t>
      </w:r>
    </w:p>
    <w:p>
      <w:pPr>
        <w:ind w:firstLine="480" w:firstLineChars="200"/>
        <w:rPr>
          <w:rFonts w:ascii="宋体" w:hAnsi="宋体" w:eastAsia="宋体" w:cs="宋体"/>
          <w:sz w:val="24"/>
        </w:rPr>
      </w:pPr>
      <w:r>
        <w:rPr>
          <w:rFonts w:hint="eastAsia" w:ascii="宋体" w:hAnsi="宋体" w:eastAsia="宋体" w:cs="宋体"/>
          <w:sz w:val="24"/>
        </w:rPr>
        <w:t>3、在电梯使用过程中发现故障或异常情况应当立即停止使用，并及时通知乙方。</w:t>
      </w:r>
    </w:p>
    <w:p>
      <w:pPr>
        <w:ind w:firstLine="480" w:firstLineChars="200"/>
        <w:rPr>
          <w:rFonts w:ascii="宋体" w:hAnsi="宋体" w:eastAsia="宋体" w:cs="宋体"/>
          <w:sz w:val="24"/>
        </w:rPr>
      </w:pPr>
      <w:r>
        <w:rPr>
          <w:rFonts w:hint="eastAsia" w:ascii="宋体" w:hAnsi="宋体" w:eastAsia="宋体" w:cs="宋体"/>
          <w:sz w:val="24"/>
        </w:rPr>
        <w:t>4、除乙方无法解决的情况外，未经乙方书面许可不得允许非乙方人员从事与电梯维护保养有关的工作。</w:t>
      </w:r>
    </w:p>
    <w:p>
      <w:pPr>
        <w:ind w:firstLine="480" w:firstLineChars="200"/>
        <w:rPr>
          <w:rFonts w:ascii="宋体" w:hAnsi="宋体" w:eastAsia="宋体" w:cs="宋体"/>
          <w:sz w:val="24"/>
        </w:rPr>
      </w:pPr>
      <w:r>
        <w:rPr>
          <w:rFonts w:hint="eastAsia" w:ascii="宋体" w:hAnsi="宋体" w:eastAsia="宋体" w:cs="宋体"/>
          <w:sz w:val="24"/>
        </w:rPr>
        <w:t>5、应当为乙方提供维护保养所需的工作环境。</w:t>
      </w:r>
    </w:p>
    <w:p>
      <w:pPr>
        <w:ind w:firstLine="480" w:firstLineChars="200"/>
        <w:rPr>
          <w:rFonts w:ascii="宋体" w:hAnsi="宋体" w:eastAsia="宋体" w:cs="宋体"/>
          <w:sz w:val="24"/>
        </w:rPr>
      </w:pPr>
      <w:r>
        <w:rPr>
          <w:rFonts w:hint="eastAsia" w:ascii="宋体" w:hAnsi="宋体" w:eastAsia="宋体" w:cs="宋体"/>
          <w:sz w:val="24"/>
        </w:rPr>
        <w:t>第九条  乙方权利、义务</w:t>
      </w:r>
    </w:p>
    <w:p>
      <w:pPr>
        <w:ind w:firstLine="480" w:firstLineChars="200"/>
        <w:rPr>
          <w:rFonts w:ascii="宋体" w:hAnsi="宋体" w:eastAsia="宋体" w:cs="宋体"/>
          <w:sz w:val="24"/>
        </w:rPr>
      </w:pPr>
      <w:r>
        <w:rPr>
          <w:rFonts w:hint="eastAsia" w:ascii="宋体" w:hAnsi="宋体" w:eastAsia="宋体" w:cs="宋体"/>
          <w:sz w:val="24"/>
        </w:rPr>
        <w:t>（一）权利</w:t>
      </w:r>
    </w:p>
    <w:p>
      <w:pPr>
        <w:ind w:firstLine="480" w:firstLineChars="200"/>
        <w:rPr>
          <w:rFonts w:ascii="宋体" w:hAnsi="宋体" w:eastAsia="宋体" w:cs="宋体"/>
          <w:sz w:val="24"/>
        </w:rPr>
      </w:pPr>
      <w:r>
        <w:rPr>
          <w:rFonts w:hint="eastAsia" w:ascii="宋体" w:hAnsi="宋体" w:eastAsia="宋体" w:cs="宋体"/>
          <w:sz w:val="24"/>
        </w:rPr>
        <w:t xml:space="preserve">    1、有权要求甲方提供维护保养所需的工作环境及相关资料。</w:t>
      </w:r>
    </w:p>
    <w:p>
      <w:pPr>
        <w:ind w:firstLine="480" w:firstLineChars="200"/>
        <w:rPr>
          <w:rFonts w:ascii="宋体" w:hAnsi="宋体" w:eastAsia="宋体" w:cs="宋体"/>
          <w:sz w:val="24"/>
        </w:rPr>
      </w:pPr>
      <w:r>
        <w:rPr>
          <w:rFonts w:hint="eastAsia" w:ascii="宋体" w:hAnsi="宋体" w:eastAsia="宋体" w:cs="宋体"/>
          <w:sz w:val="24"/>
        </w:rPr>
        <w:t>2、乙方有权拒绝甲方提出的影响电梯安全运行的要求。</w:t>
      </w:r>
    </w:p>
    <w:p>
      <w:pPr>
        <w:ind w:firstLine="480" w:firstLineChars="200"/>
        <w:rPr>
          <w:rFonts w:ascii="宋体" w:hAnsi="宋体" w:eastAsia="宋体" w:cs="宋体"/>
          <w:sz w:val="24"/>
        </w:rPr>
      </w:pPr>
      <w:r>
        <w:rPr>
          <w:rFonts w:hint="eastAsia" w:ascii="宋体" w:hAnsi="宋体" w:eastAsia="宋体" w:cs="宋体"/>
          <w:sz w:val="24"/>
        </w:rPr>
        <w:t>（二）义务</w:t>
      </w:r>
    </w:p>
    <w:p>
      <w:pPr>
        <w:ind w:firstLine="480" w:firstLineChars="200"/>
        <w:rPr>
          <w:rFonts w:ascii="宋体" w:hAnsi="宋体" w:eastAsia="宋体" w:cs="宋体"/>
          <w:sz w:val="24"/>
        </w:rPr>
      </w:pPr>
      <w:r>
        <w:rPr>
          <w:rFonts w:hint="eastAsia" w:ascii="宋体" w:hAnsi="宋体" w:eastAsia="宋体" w:cs="宋体"/>
          <w:sz w:val="24"/>
        </w:rPr>
        <w:t>1、应当具备市特种设备安全监督管理部门核发的相应许可。</w:t>
      </w:r>
    </w:p>
    <w:p>
      <w:pPr>
        <w:ind w:firstLine="480" w:firstLineChars="200"/>
        <w:rPr>
          <w:rFonts w:ascii="宋体" w:hAnsi="宋体" w:eastAsia="宋体" w:cs="宋体"/>
          <w:sz w:val="24"/>
        </w:rPr>
      </w:pPr>
      <w:r>
        <w:rPr>
          <w:rFonts w:hint="eastAsia" w:ascii="宋体" w:hAnsi="宋体" w:eastAsia="宋体" w:cs="宋体"/>
          <w:sz w:val="24"/>
        </w:rPr>
        <w:t>2、接到故障通知后，应当立即赶赴现场进行处理；电梯困人时，应当在30分钟内（此时间最长不得超过30分钟）抵达现场,一般故障40分钟内到达现场。</w:t>
      </w:r>
    </w:p>
    <w:p>
      <w:pPr>
        <w:ind w:firstLine="480" w:firstLineChars="200"/>
        <w:rPr>
          <w:rFonts w:ascii="宋体" w:hAnsi="宋体" w:eastAsia="宋体" w:cs="宋体"/>
          <w:sz w:val="24"/>
        </w:rPr>
      </w:pPr>
      <w:r>
        <w:rPr>
          <w:rFonts w:hint="eastAsia" w:ascii="宋体" w:hAnsi="宋体" w:eastAsia="宋体" w:cs="宋体"/>
          <w:sz w:val="24"/>
        </w:rPr>
        <w:t>3、拟派项目人员架构（项目负责人除外）不得少于12人，且应当取得相应的《特种设备作业人员证》。</w:t>
      </w:r>
    </w:p>
    <w:p>
      <w:pPr>
        <w:ind w:firstLine="480" w:firstLineChars="200"/>
        <w:rPr>
          <w:rFonts w:ascii="宋体" w:hAnsi="宋体" w:eastAsia="宋体" w:cs="宋体"/>
          <w:sz w:val="24"/>
        </w:rPr>
      </w:pPr>
      <w:r>
        <w:rPr>
          <w:rFonts w:hint="eastAsia" w:ascii="宋体" w:hAnsi="宋体" w:eastAsia="宋体" w:cs="宋体"/>
          <w:sz w:val="24"/>
        </w:rPr>
        <w:t>4、现场作业人员不得少于两人，且应当取得相应的《特种设备作业人员证》。</w:t>
      </w:r>
    </w:p>
    <w:p>
      <w:pPr>
        <w:ind w:firstLine="480" w:firstLineChars="200"/>
        <w:rPr>
          <w:rFonts w:ascii="宋体" w:hAnsi="宋体" w:eastAsia="宋体" w:cs="宋体"/>
          <w:sz w:val="24"/>
        </w:rPr>
      </w:pPr>
      <w:r>
        <w:rPr>
          <w:rFonts w:hint="eastAsia" w:ascii="宋体" w:hAnsi="宋体" w:eastAsia="宋体" w:cs="宋体"/>
          <w:sz w:val="24"/>
        </w:rPr>
        <w:t>5、作业中应当负责落实现场安全防护措施，保证作业安全。</w:t>
      </w:r>
    </w:p>
    <w:p>
      <w:pPr>
        <w:ind w:firstLine="480" w:firstLineChars="200"/>
        <w:rPr>
          <w:rFonts w:ascii="宋体" w:hAnsi="宋体" w:eastAsia="宋体" w:cs="宋体"/>
          <w:sz w:val="24"/>
        </w:rPr>
      </w:pPr>
      <w:r>
        <w:rPr>
          <w:rFonts w:hint="eastAsia" w:ascii="宋体" w:hAnsi="宋体" w:eastAsia="宋体" w:cs="宋体"/>
          <w:sz w:val="24"/>
        </w:rPr>
        <w:t>6、提供本合同电梯保养的半月、季度、半年、年度维护保养计划及具体实施时间表，并按时进行保养服务，每次保养时间不少于两小时。</w:t>
      </w:r>
    </w:p>
    <w:p>
      <w:pPr>
        <w:ind w:firstLine="480" w:firstLineChars="200"/>
        <w:rPr>
          <w:rFonts w:ascii="宋体" w:hAnsi="宋体" w:eastAsia="宋体" w:cs="宋体"/>
          <w:sz w:val="24"/>
        </w:rPr>
      </w:pPr>
      <w:r>
        <w:rPr>
          <w:rFonts w:hint="eastAsia" w:ascii="宋体" w:hAnsi="宋体" w:eastAsia="宋体" w:cs="宋体"/>
          <w:sz w:val="24"/>
        </w:rPr>
        <w:t>7、根据甲方的故障统计记录提出故障分析报告，报告中应包含电梯故障的整改措施和预防措施、有关电梯使用管理的合理化建议。</w:t>
      </w:r>
    </w:p>
    <w:p>
      <w:pPr>
        <w:ind w:firstLine="480" w:firstLineChars="200"/>
        <w:rPr>
          <w:rFonts w:ascii="宋体" w:hAnsi="宋体" w:eastAsia="宋体" w:cs="宋体"/>
          <w:sz w:val="24"/>
        </w:rPr>
      </w:pPr>
      <w:r>
        <w:rPr>
          <w:rFonts w:hint="eastAsia" w:ascii="宋体" w:hAnsi="宋体" w:eastAsia="宋体" w:cs="宋体"/>
          <w:sz w:val="24"/>
        </w:rPr>
        <w:t>8、当需要完成合同之外所需的重大维修项目时，乙方应及时将相关工程内容和报价提供给甲方。</w:t>
      </w:r>
    </w:p>
    <w:p>
      <w:pPr>
        <w:ind w:firstLine="480" w:firstLineChars="200"/>
        <w:rPr>
          <w:rFonts w:ascii="宋体" w:hAnsi="宋体" w:eastAsia="宋体" w:cs="宋体"/>
          <w:sz w:val="24"/>
        </w:rPr>
      </w:pPr>
      <w:r>
        <w:rPr>
          <w:rFonts w:hint="eastAsia" w:ascii="宋体" w:hAnsi="宋体" w:eastAsia="宋体" w:cs="宋体"/>
          <w:sz w:val="24"/>
        </w:rPr>
        <w:t>9、对所维护保养电梯的安全运行负责，保障设备整机及零部件完整无损。</w:t>
      </w:r>
    </w:p>
    <w:p>
      <w:pPr>
        <w:ind w:firstLine="480" w:firstLineChars="200"/>
        <w:rPr>
          <w:rFonts w:ascii="宋体" w:hAnsi="宋体" w:eastAsia="宋体" w:cs="宋体"/>
          <w:sz w:val="24"/>
        </w:rPr>
      </w:pPr>
      <w:r>
        <w:rPr>
          <w:rFonts w:hint="eastAsia" w:ascii="宋体" w:hAnsi="宋体" w:eastAsia="宋体" w:cs="宋体"/>
          <w:sz w:val="24"/>
        </w:rPr>
        <w:t>10、建立回访制度（包括工作人员服务态度、维修质量、是否按照规定实施维护保养等）。</w:t>
      </w:r>
    </w:p>
    <w:p>
      <w:pPr>
        <w:ind w:firstLine="480" w:firstLineChars="200"/>
        <w:rPr>
          <w:rFonts w:ascii="宋体" w:hAnsi="宋体" w:eastAsia="宋体" w:cs="宋体"/>
          <w:sz w:val="24"/>
        </w:rPr>
      </w:pPr>
      <w:r>
        <w:rPr>
          <w:rFonts w:hint="eastAsia" w:ascii="宋体" w:hAnsi="宋体" w:eastAsia="宋体" w:cs="宋体"/>
          <w:sz w:val="24"/>
        </w:rPr>
        <w:t>11、由企业电梯安全检测员每半年对电梯进行一次安全检测（检测员须持检验员证），并提出相应整改报告。</w:t>
      </w:r>
    </w:p>
    <w:p>
      <w:pPr>
        <w:ind w:firstLine="480" w:firstLineChars="200"/>
        <w:rPr>
          <w:rFonts w:ascii="宋体" w:hAnsi="宋体" w:eastAsia="宋体" w:cs="宋体"/>
          <w:sz w:val="24"/>
        </w:rPr>
      </w:pPr>
      <w:r>
        <w:rPr>
          <w:rFonts w:hint="eastAsia" w:ascii="宋体" w:hAnsi="宋体" w:eastAsia="宋体" w:cs="宋体"/>
          <w:sz w:val="24"/>
        </w:rPr>
        <w:t>12、应当在电梯安全检验合格有效期届满前1个月，向电梯检验检测机构提出定期检验申请。配合电梯检验检测机构对电梯的定期检验，并保证通过电梯检验检测机构对电梯的定期检验合格。</w:t>
      </w:r>
    </w:p>
    <w:p>
      <w:pPr>
        <w:ind w:firstLine="480" w:firstLineChars="200"/>
        <w:rPr>
          <w:rFonts w:ascii="宋体" w:hAnsi="宋体" w:eastAsia="宋体" w:cs="宋体"/>
          <w:sz w:val="24"/>
        </w:rPr>
      </w:pPr>
      <w:r>
        <w:rPr>
          <w:rFonts w:hint="eastAsia" w:ascii="宋体" w:hAnsi="宋体" w:eastAsia="宋体" w:cs="宋体"/>
          <w:sz w:val="24"/>
        </w:rPr>
        <w:t>13、协助甲方制定紧急救援预案并参与电梯的紧急救援工作,积极参与电梯安全管理的各项活动。</w:t>
      </w:r>
    </w:p>
    <w:p>
      <w:pPr>
        <w:ind w:firstLine="480" w:firstLineChars="200"/>
        <w:rPr>
          <w:rFonts w:ascii="宋体" w:hAnsi="宋体" w:eastAsia="宋体" w:cs="宋体"/>
          <w:sz w:val="24"/>
        </w:rPr>
      </w:pPr>
      <w:r>
        <w:rPr>
          <w:rFonts w:hint="eastAsia" w:ascii="宋体" w:hAnsi="宋体" w:eastAsia="宋体" w:cs="宋体"/>
          <w:sz w:val="24"/>
        </w:rPr>
        <w:t>14、如遇召开大型活动或重要检查时，提前一天对电梯进行检查保养，并于领导参观、视察当天派技术人员驻守上述大厦，确保电梯安全稳定运行。</w:t>
      </w:r>
    </w:p>
    <w:p>
      <w:pPr>
        <w:ind w:firstLine="480" w:firstLineChars="200"/>
        <w:rPr>
          <w:rFonts w:ascii="宋体" w:hAnsi="宋体" w:eastAsia="宋体" w:cs="宋体"/>
          <w:sz w:val="24"/>
        </w:rPr>
      </w:pPr>
      <w:r>
        <w:rPr>
          <w:rFonts w:hint="eastAsia" w:ascii="宋体" w:hAnsi="宋体" w:eastAsia="宋体" w:cs="宋体"/>
          <w:sz w:val="24"/>
        </w:rPr>
        <w:t>15、应当妥善保管电梯图纸及相关资料，并在合同终止后交给甲方。</w:t>
      </w:r>
    </w:p>
    <w:p>
      <w:pPr>
        <w:ind w:firstLine="480" w:firstLineChars="200"/>
        <w:rPr>
          <w:rFonts w:ascii="宋体" w:hAnsi="宋体" w:eastAsia="宋体" w:cs="宋体"/>
          <w:sz w:val="24"/>
        </w:rPr>
      </w:pPr>
      <w:r>
        <w:rPr>
          <w:rFonts w:hint="eastAsia" w:ascii="宋体" w:hAnsi="宋体" w:eastAsia="宋体" w:cs="宋体"/>
          <w:sz w:val="24"/>
        </w:rPr>
        <w:t>16、不得以任何形式分包、转包。</w:t>
      </w:r>
    </w:p>
    <w:p>
      <w:pPr>
        <w:ind w:firstLine="480" w:firstLineChars="200"/>
        <w:rPr>
          <w:rFonts w:ascii="宋体" w:hAnsi="宋体" w:eastAsia="宋体" w:cs="宋体"/>
          <w:sz w:val="24"/>
        </w:rPr>
      </w:pPr>
      <w:r>
        <w:rPr>
          <w:rFonts w:hint="eastAsia" w:ascii="宋体" w:hAnsi="宋体" w:eastAsia="宋体" w:cs="宋体"/>
          <w:sz w:val="24"/>
        </w:rPr>
        <w:t>17、当电梯存在安全隐患时，乙方应及时采取停梯措施并立刻通知甲方停用。</w:t>
      </w:r>
    </w:p>
    <w:p>
      <w:pPr>
        <w:ind w:firstLine="480" w:firstLineChars="200"/>
        <w:rPr>
          <w:rFonts w:ascii="宋体" w:hAnsi="宋体" w:eastAsia="宋体" w:cs="宋体"/>
          <w:sz w:val="24"/>
        </w:rPr>
      </w:pPr>
      <w:r>
        <w:rPr>
          <w:rFonts w:hint="eastAsia" w:ascii="宋体" w:hAnsi="宋体" w:eastAsia="宋体" w:cs="宋体"/>
          <w:sz w:val="24"/>
        </w:rPr>
        <w:t>18、在维修、保养、检查作业时，接受甲方工作人员的全程监督。作业工程单须由甲方。</w:t>
      </w:r>
    </w:p>
    <w:p>
      <w:pPr>
        <w:ind w:firstLine="480" w:firstLineChars="200"/>
        <w:rPr>
          <w:rFonts w:ascii="宋体" w:hAnsi="宋体" w:eastAsia="宋体" w:cs="宋体"/>
          <w:sz w:val="24"/>
        </w:rPr>
      </w:pPr>
      <w:r>
        <w:rPr>
          <w:rFonts w:hint="eastAsia" w:ascii="宋体" w:hAnsi="宋体" w:eastAsia="宋体" w:cs="宋体"/>
          <w:sz w:val="24"/>
        </w:rPr>
        <w:t>19、乙方须按照投标时提供的《电梯配件易损件清单》，</w:t>
      </w:r>
      <w:r>
        <w:rPr>
          <w:rFonts w:hint="eastAsia" w:ascii="宋体" w:hAnsi="宋体" w:eastAsia="宋体" w:cs="宋体"/>
          <w:szCs w:val="21"/>
        </w:rPr>
        <w:t>在甲方指定地点建立备品备件库。</w:t>
      </w:r>
    </w:p>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工作人员签名确认。</w:t>
      </w:r>
    </w:p>
    <w:p>
      <w:pPr>
        <w:ind w:firstLine="480" w:firstLineChars="200"/>
        <w:rPr>
          <w:rFonts w:ascii="宋体" w:hAnsi="宋体" w:eastAsia="宋体" w:cs="宋体"/>
          <w:sz w:val="24"/>
        </w:rPr>
      </w:pPr>
      <w:r>
        <w:rPr>
          <w:rFonts w:hint="eastAsia" w:ascii="宋体" w:hAnsi="宋体" w:eastAsia="宋体" w:cs="宋体"/>
          <w:sz w:val="24"/>
        </w:rPr>
        <w:t>第十条  违约责任</w:t>
      </w:r>
    </w:p>
    <w:p>
      <w:pPr>
        <w:ind w:firstLine="480" w:firstLineChars="200"/>
        <w:rPr>
          <w:rFonts w:ascii="宋体" w:hAnsi="宋体" w:eastAsia="宋体" w:cs="宋体"/>
          <w:sz w:val="24"/>
        </w:rPr>
      </w:pPr>
      <w:r>
        <w:rPr>
          <w:rFonts w:hint="eastAsia" w:ascii="宋体" w:hAnsi="宋体" w:eastAsia="宋体" w:cs="宋体"/>
          <w:sz w:val="24"/>
        </w:rPr>
        <w:t>（一）一方当事人未按约定履行义务给对方造成直接损失的，应当承担赔偿责任。</w:t>
      </w:r>
    </w:p>
    <w:p>
      <w:pPr>
        <w:ind w:firstLine="480" w:firstLineChars="200"/>
        <w:rPr>
          <w:rFonts w:ascii="宋体" w:hAnsi="宋体" w:eastAsia="宋体" w:cs="宋体"/>
          <w:sz w:val="24"/>
        </w:rPr>
      </w:pPr>
      <w:r>
        <w:rPr>
          <w:rFonts w:hint="eastAsia" w:ascii="宋体" w:hAnsi="宋体" w:eastAsia="宋体" w:cs="宋体"/>
          <w:sz w:val="24"/>
        </w:rPr>
        <w:t>（二）一方当事人无法继续履行合同的，应当及时通知另一方，并由责任方承担因合同解除而造成的损失。</w:t>
      </w:r>
    </w:p>
    <w:p>
      <w:pPr>
        <w:ind w:firstLine="480" w:firstLineChars="200"/>
        <w:rPr>
          <w:rFonts w:ascii="宋体" w:hAnsi="宋体" w:eastAsia="宋体" w:cs="宋体"/>
          <w:sz w:val="24"/>
        </w:rPr>
      </w:pPr>
      <w:r>
        <w:rPr>
          <w:rFonts w:hint="eastAsia" w:ascii="宋体" w:hAnsi="宋体" w:eastAsia="宋体" w:cs="宋体"/>
          <w:sz w:val="24"/>
        </w:rPr>
        <w:t>（三） 甲方无正当理由未按照约定期限支付费用的，每延误一日应当向乙方支付延误部分月费用1%的违约金。超过双方约定的60日时，本合同自动终止。</w:t>
      </w:r>
    </w:p>
    <w:p>
      <w:pPr>
        <w:ind w:firstLine="480" w:firstLineChars="200"/>
        <w:rPr>
          <w:rFonts w:ascii="宋体" w:hAnsi="宋体" w:eastAsia="宋体" w:cs="宋体"/>
          <w:sz w:val="24"/>
        </w:rPr>
      </w:pPr>
      <w:r>
        <w:rPr>
          <w:rFonts w:hint="eastAsia" w:ascii="宋体" w:hAnsi="宋体" w:eastAsia="宋体" w:cs="宋体"/>
          <w:sz w:val="24"/>
        </w:rPr>
        <w:t>（四）甲方违反约定允许非乙方人员从事电梯维护保养工作的，应当按照月费用5%标准支付违约金。</w:t>
      </w:r>
    </w:p>
    <w:p>
      <w:pPr>
        <w:ind w:firstLine="480" w:firstLineChars="200"/>
        <w:rPr>
          <w:rFonts w:ascii="宋体" w:hAnsi="宋体" w:eastAsia="宋体" w:cs="宋体"/>
          <w:sz w:val="24"/>
        </w:rPr>
      </w:pPr>
      <w:r>
        <w:rPr>
          <w:rFonts w:hint="eastAsia" w:ascii="宋体" w:hAnsi="宋体" w:eastAsia="宋体" w:cs="宋体"/>
          <w:sz w:val="24"/>
        </w:rPr>
        <w:t>（五）非因乙方维护保养原因，因电梯使用、管理原因导致人身伤亡或设备损坏、丢失的，由甲方自行承担全部责任。</w:t>
      </w:r>
    </w:p>
    <w:p>
      <w:pPr>
        <w:ind w:firstLine="480" w:firstLineChars="200"/>
        <w:rPr>
          <w:rFonts w:ascii="宋体" w:hAnsi="宋体" w:eastAsia="宋体" w:cs="宋体"/>
          <w:sz w:val="24"/>
        </w:rPr>
      </w:pPr>
      <w:r>
        <w:rPr>
          <w:rFonts w:hint="eastAsia" w:ascii="宋体" w:hAnsi="宋体" w:eastAsia="宋体" w:cs="宋体"/>
          <w:sz w:val="24"/>
        </w:rPr>
        <w:t>（六）乙方的维护保养工作不符合合同约定的维护保养标准或要求的，乙方应当返工，并按照月费用15%标准支付每次违约金。</w:t>
      </w:r>
    </w:p>
    <w:p>
      <w:pPr>
        <w:ind w:firstLine="480" w:firstLineChars="200"/>
        <w:rPr>
          <w:rFonts w:ascii="宋体" w:hAnsi="宋体" w:eastAsia="宋体" w:cs="宋体"/>
          <w:sz w:val="24"/>
        </w:rPr>
      </w:pPr>
      <w:r>
        <w:rPr>
          <w:rFonts w:hint="eastAsia" w:ascii="宋体" w:hAnsi="宋体" w:eastAsia="宋体" w:cs="宋体"/>
          <w:sz w:val="24"/>
        </w:rPr>
        <w:t>（七）因维护保养原因导致人身伤亡或设备损坏、丢失的，由乙方承担全部责任。</w:t>
      </w:r>
    </w:p>
    <w:p>
      <w:pPr>
        <w:ind w:firstLine="480" w:firstLineChars="200"/>
        <w:rPr>
          <w:rFonts w:ascii="宋体" w:hAnsi="宋体" w:eastAsia="宋体" w:cs="宋体"/>
          <w:sz w:val="24"/>
        </w:rPr>
      </w:pPr>
      <w:r>
        <w:rPr>
          <w:rFonts w:hint="eastAsia" w:ascii="宋体" w:hAnsi="宋体" w:eastAsia="宋体" w:cs="宋体"/>
          <w:sz w:val="24"/>
        </w:rPr>
        <w:t>（八）因维护保养原因导致电梯检验检测不合格的，乙方还应当承担电梯复验费用。并按照月费用100%标准支付违约金。</w:t>
      </w:r>
    </w:p>
    <w:p>
      <w:pPr>
        <w:ind w:firstLine="480" w:firstLineChars="200"/>
        <w:rPr>
          <w:rFonts w:ascii="宋体" w:hAnsi="宋体" w:eastAsia="宋体" w:cs="宋体"/>
          <w:sz w:val="24"/>
        </w:rPr>
      </w:pPr>
      <w:r>
        <w:rPr>
          <w:rFonts w:hint="eastAsia" w:ascii="宋体" w:hAnsi="宋体" w:eastAsia="宋体" w:cs="宋体"/>
          <w:sz w:val="24"/>
        </w:rPr>
        <w:t>（九）根据本合同的电梯现状，甲乙双方约定非使用原因导致的电梯故障率每月每台电梯不得超过3次，超过3次甲方可拒付此台故障电梯本月保养费。</w:t>
      </w:r>
    </w:p>
    <w:p>
      <w:pPr>
        <w:ind w:firstLine="480" w:firstLineChars="200"/>
        <w:rPr>
          <w:rFonts w:ascii="宋体" w:hAnsi="宋体" w:eastAsia="宋体" w:cs="宋体"/>
          <w:sz w:val="24"/>
        </w:rPr>
      </w:pPr>
      <w:r>
        <w:rPr>
          <w:rFonts w:hint="eastAsia" w:ascii="宋体" w:hAnsi="宋体" w:eastAsia="宋体" w:cs="宋体"/>
          <w:sz w:val="24"/>
        </w:rPr>
        <w:t>（十）电梯故障的抢修恢复运行时间不得超过2小时，超过2小时甲方可拒付此台故障电梯本月保养费。</w:t>
      </w:r>
    </w:p>
    <w:p>
      <w:pPr>
        <w:ind w:firstLine="480" w:firstLineChars="200"/>
        <w:rPr>
          <w:rFonts w:ascii="宋体" w:hAnsi="宋体" w:eastAsia="宋体" w:cs="宋体"/>
          <w:sz w:val="24"/>
        </w:rPr>
      </w:pPr>
      <w:r>
        <w:rPr>
          <w:rFonts w:hint="eastAsia" w:ascii="宋体" w:hAnsi="宋体" w:eastAsia="宋体" w:cs="宋体"/>
          <w:sz w:val="24"/>
        </w:rPr>
        <w:t>(十一) 乙方违约责任涉及付款的，以电梯维保考核表作为结算依据。</w:t>
      </w:r>
    </w:p>
    <w:p>
      <w:pPr>
        <w:ind w:firstLine="480" w:firstLineChars="200"/>
        <w:rPr>
          <w:rFonts w:ascii="宋体" w:hAnsi="宋体" w:eastAsia="宋体" w:cs="宋体"/>
          <w:sz w:val="24"/>
        </w:rPr>
      </w:pPr>
      <w:r>
        <w:rPr>
          <w:rFonts w:hint="eastAsia" w:ascii="宋体" w:hAnsi="宋体" w:eastAsia="宋体" w:cs="宋体"/>
          <w:sz w:val="24"/>
        </w:rPr>
        <w:t>第十一条  合同的解除</w:t>
      </w:r>
    </w:p>
    <w:p>
      <w:pPr>
        <w:ind w:firstLine="480" w:firstLineChars="200"/>
        <w:rPr>
          <w:rFonts w:ascii="宋体" w:hAnsi="宋体" w:eastAsia="宋体" w:cs="宋体"/>
          <w:sz w:val="24"/>
        </w:rPr>
      </w:pPr>
      <w:r>
        <w:rPr>
          <w:rFonts w:hint="eastAsia" w:ascii="宋体" w:hAnsi="宋体" w:eastAsia="宋体" w:cs="宋体"/>
          <w:sz w:val="24"/>
        </w:rPr>
        <w:t>（一）甲乙双方协商一致，可以解除合同。</w:t>
      </w:r>
    </w:p>
    <w:p>
      <w:pPr>
        <w:ind w:firstLine="480" w:firstLineChars="200"/>
        <w:rPr>
          <w:rFonts w:ascii="宋体" w:hAnsi="宋体" w:eastAsia="宋体" w:cs="宋体"/>
          <w:sz w:val="24"/>
        </w:rPr>
      </w:pPr>
      <w:r>
        <w:rPr>
          <w:rFonts w:hint="eastAsia" w:ascii="宋体" w:hAnsi="宋体" w:eastAsia="宋体" w:cs="宋体"/>
          <w:sz w:val="24"/>
        </w:rPr>
        <w:t>（二）任何一方严重违约导致合同无法继续履行的，另一方可以解除合同。此外任何一方不得单方解除合同。</w:t>
      </w:r>
    </w:p>
    <w:p>
      <w:pPr>
        <w:ind w:firstLine="480" w:firstLineChars="200"/>
        <w:rPr>
          <w:rFonts w:ascii="宋体" w:hAnsi="宋体" w:eastAsia="宋体" w:cs="宋体"/>
          <w:sz w:val="24"/>
        </w:rPr>
      </w:pPr>
      <w:r>
        <w:rPr>
          <w:rFonts w:hint="eastAsia" w:ascii="宋体" w:hAnsi="宋体" w:eastAsia="宋体" w:cs="宋体"/>
          <w:sz w:val="24"/>
        </w:rPr>
        <w:t>第十二条  争端解决</w:t>
      </w:r>
    </w:p>
    <w:p>
      <w:pPr>
        <w:ind w:firstLine="480" w:firstLineChars="200"/>
        <w:rPr>
          <w:rFonts w:ascii="宋体" w:hAnsi="宋体" w:eastAsia="宋体" w:cs="宋体"/>
          <w:sz w:val="24"/>
        </w:rPr>
      </w:pPr>
      <w:r>
        <w:rPr>
          <w:rFonts w:hint="eastAsia" w:ascii="宋体" w:hAnsi="宋体" w:eastAsia="宋体" w:cs="宋体"/>
          <w:sz w:val="24"/>
        </w:rPr>
        <w:t>（一）合同实施或合同有关的一切争端应通过双方协商解决。如果协商开始后60日内还不能解决，提交甲方所在地人民法院诉讼解决。</w:t>
      </w:r>
    </w:p>
    <w:p>
      <w:pPr>
        <w:ind w:firstLine="480" w:firstLineChars="200"/>
        <w:rPr>
          <w:rFonts w:ascii="宋体" w:hAnsi="宋体" w:eastAsia="宋体" w:cs="宋体"/>
          <w:sz w:val="24"/>
        </w:rPr>
      </w:pPr>
      <w:r>
        <w:rPr>
          <w:rFonts w:hint="eastAsia" w:ascii="宋体" w:hAnsi="宋体" w:eastAsia="宋体" w:cs="宋体"/>
          <w:sz w:val="24"/>
        </w:rPr>
        <w:t xml:space="preserve">    （二）在诉讼期间，除正在进行诉讼的部分，本合同其他部分应继续执行。</w:t>
      </w:r>
    </w:p>
    <w:p>
      <w:pPr>
        <w:ind w:firstLine="480" w:firstLineChars="200"/>
        <w:rPr>
          <w:rFonts w:ascii="宋体" w:hAnsi="宋体" w:eastAsia="宋体" w:cs="宋体"/>
          <w:sz w:val="24"/>
        </w:rPr>
      </w:pPr>
      <w:r>
        <w:rPr>
          <w:rFonts w:hint="eastAsia" w:ascii="宋体" w:hAnsi="宋体" w:eastAsia="宋体" w:cs="宋体"/>
          <w:sz w:val="24"/>
        </w:rPr>
        <w:t>第十三条  其他约定</w:t>
      </w:r>
    </w:p>
    <w:p>
      <w:pPr>
        <w:ind w:firstLine="480" w:firstLineChars="200"/>
        <w:rPr>
          <w:rFonts w:ascii="宋体" w:hAnsi="宋体" w:eastAsia="宋体" w:cs="宋体"/>
          <w:sz w:val="24"/>
        </w:rPr>
      </w:pPr>
      <w:r>
        <w:rPr>
          <w:rFonts w:hint="eastAsia" w:ascii="宋体" w:hAnsi="宋体" w:eastAsia="宋体" w:cs="宋体"/>
          <w:sz w:val="24"/>
        </w:rPr>
        <w:t>（一）电梯保养作业时间：1、办公楼星期六、日；2、住宅楼星期一至五。</w:t>
      </w:r>
    </w:p>
    <w:p>
      <w:pPr>
        <w:ind w:firstLine="480" w:firstLineChars="200"/>
        <w:rPr>
          <w:rFonts w:ascii="宋体" w:hAnsi="宋体" w:eastAsia="宋体" w:cs="宋体"/>
          <w:sz w:val="24"/>
        </w:rPr>
      </w:pPr>
      <w:r>
        <w:rPr>
          <w:rFonts w:hint="eastAsia" w:ascii="宋体" w:hAnsi="宋体" w:eastAsia="宋体" w:cs="宋体"/>
          <w:sz w:val="24"/>
        </w:rPr>
        <w:t>（二）维护保养记录是记载电梯运行、维护、保养的依据。甲乙双方对每台电梯均应当建立独立的维护保养记录。维护保养记录应当一式两份，甲乙双方各保存一份，保存时间为4 年。普通维修、重大维修、改造协议与抢修记录均应当与维护保养记录一并保存。</w:t>
      </w:r>
    </w:p>
    <w:p>
      <w:pPr>
        <w:ind w:firstLine="480" w:firstLineChars="200"/>
        <w:rPr>
          <w:rFonts w:ascii="宋体" w:hAnsi="宋体" w:eastAsia="宋体" w:cs="宋体"/>
          <w:sz w:val="24"/>
        </w:rPr>
      </w:pPr>
      <w:r>
        <w:rPr>
          <w:rFonts w:hint="eastAsia" w:ascii="宋体" w:hAnsi="宋体" w:eastAsia="宋体" w:cs="宋体"/>
          <w:sz w:val="24"/>
        </w:rPr>
        <w:t>(三) 甲乙双方应当对每台电梯共同建立如下完整安全技术档案，并双方各保存一份。</w:t>
      </w:r>
    </w:p>
    <w:p>
      <w:pPr>
        <w:ind w:firstLine="480" w:firstLineChars="200"/>
        <w:rPr>
          <w:rFonts w:ascii="宋体" w:hAnsi="宋体" w:eastAsia="宋体" w:cs="宋体"/>
          <w:sz w:val="24"/>
        </w:rPr>
      </w:pPr>
      <w:r>
        <w:rPr>
          <w:rFonts w:hint="eastAsia" w:ascii="宋体" w:hAnsi="宋体" w:eastAsia="宋体" w:cs="宋体"/>
          <w:sz w:val="24"/>
        </w:rPr>
        <w:t>（1） 产品合格证；</w:t>
      </w:r>
    </w:p>
    <w:p>
      <w:pPr>
        <w:ind w:firstLine="480" w:firstLineChars="200"/>
        <w:rPr>
          <w:rFonts w:ascii="宋体" w:hAnsi="宋体" w:eastAsia="宋体" w:cs="宋体"/>
          <w:sz w:val="24"/>
        </w:rPr>
      </w:pPr>
      <w:r>
        <w:rPr>
          <w:rFonts w:hint="eastAsia" w:ascii="宋体" w:hAnsi="宋体" w:eastAsia="宋体" w:cs="宋体"/>
          <w:sz w:val="24"/>
        </w:rPr>
        <w:t>（2） 使用维护说明书；</w:t>
      </w:r>
    </w:p>
    <w:p>
      <w:pPr>
        <w:ind w:firstLine="480" w:firstLineChars="200"/>
        <w:rPr>
          <w:rFonts w:ascii="宋体" w:hAnsi="宋体" w:eastAsia="宋体" w:cs="宋体"/>
          <w:sz w:val="24"/>
        </w:rPr>
      </w:pPr>
      <w:r>
        <w:rPr>
          <w:rFonts w:hint="eastAsia" w:ascii="宋体" w:hAnsi="宋体" w:eastAsia="宋体" w:cs="宋体"/>
          <w:sz w:val="24"/>
        </w:rPr>
        <w:t>（3） 电气原理图；</w:t>
      </w:r>
    </w:p>
    <w:p>
      <w:pPr>
        <w:ind w:firstLine="480" w:firstLineChars="200"/>
        <w:rPr>
          <w:rFonts w:ascii="宋体" w:hAnsi="宋体" w:eastAsia="宋体" w:cs="宋体"/>
          <w:sz w:val="24"/>
        </w:rPr>
      </w:pPr>
      <w:r>
        <w:rPr>
          <w:rFonts w:hint="eastAsia" w:ascii="宋体" w:hAnsi="宋体" w:eastAsia="宋体" w:cs="宋体"/>
          <w:sz w:val="24"/>
        </w:rPr>
        <w:t>（4） 电气敷设图；</w:t>
      </w:r>
    </w:p>
    <w:p>
      <w:pPr>
        <w:ind w:firstLine="480" w:firstLineChars="200"/>
        <w:rPr>
          <w:rFonts w:ascii="宋体" w:hAnsi="宋体" w:eastAsia="宋体" w:cs="宋体"/>
          <w:sz w:val="24"/>
        </w:rPr>
      </w:pPr>
      <w:r>
        <w:rPr>
          <w:rFonts w:hint="eastAsia" w:ascii="宋体" w:hAnsi="宋体" w:eastAsia="宋体" w:cs="宋体"/>
          <w:sz w:val="24"/>
        </w:rPr>
        <w:t>（5） 安装说明书；</w:t>
      </w:r>
    </w:p>
    <w:p>
      <w:pPr>
        <w:ind w:firstLine="480" w:firstLineChars="200"/>
        <w:rPr>
          <w:rFonts w:ascii="宋体" w:hAnsi="宋体" w:eastAsia="宋体" w:cs="宋体"/>
          <w:sz w:val="24"/>
        </w:rPr>
      </w:pPr>
      <w:r>
        <w:rPr>
          <w:rFonts w:hint="eastAsia" w:ascii="宋体" w:hAnsi="宋体" w:eastAsia="宋体" w:cs="宋体"/>
          <w:sz w:val="24"/>
        </w:rPr>
        <w:t>（6） 电梯整机、安全部件和主要部件型式试验报告结论副本或结论；</w:t>
      </w:r>
    </w:p>
    <w:p>
      <w:pPr>
        <w:ind w:firstLine="480" w:firstLineChars="200"/>
        <w:rPr>
          <w:rFonts w:ascii="宋体" w:hAnsi="宋体" w:eastAsia="宋体" w:cs="宋体"/>
          <w:sz w:val="24"/>
        </w:rPr>
      </w:pPr>
      <w:r>
        <w:rPr>
          <w:rFonts w:hint="eastAsia" w:ascii="宋体" w:hAnsi="宋体" w:eastAsia="宋体" w:cs="宋体"/>
          <w:sz w:val="24"/>
        </w:rPr>
        <w:t>（7） 电梯运行全部记录；</w:t>
      </w:r>
    </w:p>
    <w:p>
      <w:pPr>
        <w:ind w:firstLine="480" w:firstLineChars="200"/>
        <w:rPr>
          <w:rFonts w:ascii="宋体" w:hAnsi="宋体" w:eastAsia="宋体" w:cs="宋体"/>
          <w:sz w:val="24"/>
        </w:rPr>
      </w:pPr>
      <w:r>
        <w:rPr>
          <w:rFonts w:hint="eastAsia" w:ascii="宋体" w:hAnsi="宋体" w:eastAsia="宋体" w:cs="宋体"/>
          <w:sz w:val="24"/>
        </w:rPr>
        <w:t>（8） 故障及事故记录；</w:t>
      </w:r>
    </w:p>
    <w:p>
      <w:pPr>
        <w:ind w:firstLine="480" w:firstLineChars="200"/>
        <w:rPr>
          <w:rFonts w:ascii="宋体" w:hAnsi="宋体" w:eastAsia="宋体" w:cs="宋体"/>
          <w:sz w:val="24"/>
        </w:rPr>
      </w:pPr>
      <w:r>
        <w:rPr>
          <w:rFonts w:hint="eastAsia" w:ascii="宋体" w:hAnsi="宋体" w:eastAsia="宋体" w:cs="宋体"/>
          <w:sz w:val="24"/>
        </w:rPr>
        <w:t>（9） 改造、重大维修原始记录；</w:t>
      </w:r>
    </w:p>
    <w:p>
      <w:pPr>
        <w:ind w:firstLine="480" w:firstLineChars="200"/>
        <w:rPr>
          <w:rFonts w:ascii="宋体" w:hAnsi="宋体" w:eastAsia="宋体" w:cs="宋体"/>
          <w:sz w:val="24"/>
        </w:rPr>
      </w:pPr>
      <w:r>
        <w:rPr>
          <w:rFonts w:hint="eastAsia" w:ascii="宋体" w:hAnsi="宋体" w:eastAsia="宋体" w:cs="宋体"/>
          <w:sz w:val="24"/>
        </w:rPr>
        <w:t>（10）深圳市特种设备登记卡；</w:t>
      </w:r>
    </w:p>
    <w:p>
      <w:pPr>
        <w:ind w:firstLine="480" w:firstLineChars="200"/>
        <w:rPr>
          <w:rFonts w:ascii="宋体" w:hAnsi="宋体" w:eastAsia="宋体" w:cs="宋体"/>
          <w:sz w:val="24"/>
        </w:rPr>
      </w:pPr>
      <w:r>
        <w:rPr>
          <w:rFonts w:hint="eastAsia" w:ascii="宋体" w:hAnsi="宋体" w:eastAsia="宋体" w:cs="宋体"/>
          <w:sz w:val="24"/>
        </w:rPr>
        <w:t>（11）电梯施工自检记录；</w:t>
      </w:r>
    </w:p>
    <w:p>
      <w:pPr>
        <w:ind w:firstLine="480" w:firstLineChars="200"/>
        <w:rPr>
          <w:rFonts w:ascii="宋体" w:hAnsi="宋体" w:eastAsia="宋体" w:cs="宋体"/>
          <w:sz w:val="24"/>
        </w:rPr>
      </w:pPr>
      <w:r>
        <w:rPr>
          <w:rFonts w:hint="eastAsia" w:ascii="宋体" w:hAnsi="宋体" w:eastAsia="宋体" w:cs="宋体"/>
          <w:sz w:val="24"/>
        </w:rPr>
        <w:t>（12）年度的检验报告；</w:t>
      </w:r>
    </w:p>
    <w:p>
      <w:pPr>
        <w:ind w:firstLine="480" w:firstLineChars="200"/>
        <w:rPr>
          <w:rFonts w:ascii="宋体" w:hAnsi="宋体" w:eastAsia="宋体" w:cs="宋体"/>
          <w:sz w:val="24"/>
        </w:rPr>
      </w:pPr>
      <w:r>
        <w:rPr>
          <w:rFonts w:hint="eastAsia" w:ascii="宋体" w:hAnsi="宋体" w:eastAsia="宋体" w:cs="宋体"/>
          <w:sz w:val="24"/>
        </w:rPr>
        <w:t>（四）甲乙双方应当制定电梯事故应急防范措施和救援预案并定期演练。</w:t>
      </w:r>
    </w:p>
    <w:p>
      <w:pPr>
        <w:ind w:firstLine="480" w:firstLineChars="200"/>
        <w:rPr>
          <w:rFonts w:ascii="宋体" w:hAnsi="宋体" w:eastAsia="宋体" w:cs="宋体"/>
          <w:sz w:val="24"/>
        </w:rPr>
      </w:pPr>
      <w:r>
        <w:rPr>
          <w:rFonts w:hint="eastAsia" w:ascii="宋体" w:hAnsi="宋体" w:eastAsia="宋体" w:cs="宋体"/>
          <w:sz w:val="24"/>
        </w:rPr>
        <w:t>（五）甲乙双方应根据风险转移需求，购买电梯设备、乘客、电梯管理员、维修保养人员的相关商业保险，甲方购买电梯第三者险。</w:t>
      </w:r>
    </w:p>
    <w:p>
      <w:pPr>
        <w:ind w:firstLine="480" w:firstLineChars="200"/>
        <w:rPr>
          <w:rFonts w:ascii="宋体" w:hAnsi="宋体" w:eastAsia="宋体" w:cs="宋体"/>
          <w:sz w:val="24"/>
        </w:rPr>
      </w:pPr>
      <w:r>
        <w:rPr>
          <w:rFonts w:hint="eastAsia" w:ascii="宋体" w:hAnsi="宋体" w:eastAsia="宋体" w:cs="宋体"/>
          <w:sz w:val="24"/>
        </w:rPr>
        <w:t>第十四条  合同期限</w:t>
      </w:r>
    </w:p>
    <w:p>
      <w:pPr>
        <w:ind w:firstLine="720" w:firstLineChars="300"/>
        <w:rPr>
          <w:rFonts w:ascii="宋体" w:hAnsi="宋体" w:eastAsia="宋体" w:cs="宋体"/>
          <w:sz w:val="24"/>
        </w:rPr>
      </w:pPr>
      <w:r>
        <w:rPr>
          <w:rFonts w:hint="eastAsia" w:ascii="宋体" w:hAnsi="宋体" w:eastAsia="宋体" w:cs="宋体"/>
          <w:sz w:val="24"/>
        </w:rPr>
        <w:t>年  月  日至   年   月   日。</w:t>
      </w:r>
    </w:p>
    <w:p>
      <w:pPr>
        <w:ind w:firstLine="480" w:firstLineChars="200"/>
        <w:rPr>
          <w:rFonts w:ascii="宋体" w:hAnsi="宋体" w:eastAsia="宋体" w:cs="宋体"/>
          <w:sz w:val="24"/>
        </w:rPr>
      </w:pPr>
      <w:r>
        <w:rPr>
          <w:rFonts w:hint="eastAsia" w:ascii="宋体" w:hAnsi="宋体" w:eastAsia="宋体" w:cs="宋体"/>
          <w:sz w:val="24"/>
        </w:rPr>
        <w:t>第十五条 附则</w:t>
      </w:r>
    </w:p>
    <w:p>
      <w:pPr>
        <w:ind w:firstLine="480" w:firstLineChars="200"/>
        <w:rPr>
          <w:rFonts w:ascii="宋体" w:hAnsi="宋体" w:eastAsia="宋体" w:cs="宋体"/>
          <w:sz w:val="24"/>
        </w:rPr>
      </w:pPr>
      <w:r>
        <w:rPr>
          <w:rFonts w:hint="eastAsia" w:ascii="宋体" w:hAnsi="宋体" w:eastAsia="宋体" w:cs="宋体"/>
          <w:sz w:val="24"/>
        </w:rPr>
        <w:t>本合同自甲乙双方签字盖章后生效。本合同生效后，双方对合同内容的变更或补充应当采取书面形式，并经双方签字确认，作为本合同的附件。附件与本合同具有同等的法律效力。</w:t>
      </w:r>
    </w:p>
    <w:p>
      <w:pPr>
        <w:ind w:firstLine="480" w:firstLineChars="200"/>
        <w:rPr>
          <w:rFonts w:ascii="宋体" w:hAnsi="宋体" w:eastAsia="宋体" w:cs="宋体"/>
          <w:sz w:val="24"/>
        </w:rPr>
      </w:pPr>
      <w:r>
        <w:rPr>
          <w:rFonts w:hint="eastAsia" w:ascii="宋体" w:hAnsi="宋体" w:eastAsia="宋体" w:cs="宋体"/>
          <w:sz w:val="24"/>
        </w:rPr>
        <w:t>本合同一式捌份，甲方执肆份，乙方执叁份，特种设备监督管理机构执壹份。</w:t>
      </w:r>
    </w:p>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甲方：（签章）                             乙方：（签章）</w:t>
      </w:r>
    </w:p>
    <w:p>
      <w:pPr>
        <w:ind w:firstLine="480" w:firstLineChars="200"/>
        <w:rPr>
          <w:rFonts w:ascii="宋体" w:hAnsi="宋体" w:eastAsia="宋体" w:cs="宋体"/>
          <w:sz w:val="24"/>
        </w:rPr>
      </w:pPr>
      <w:r>
        <w:rPr>
          <w:rFonts w:hint="eastAsia" w:ascii="宋体" w:hAnsi="宋体" w:eastAsia="宋体" w:cs="宋体"/>
          <w:sz w:val="24"/>
        </w:rPr>
        <w:t>法人代表（或授权代理人）：                 法人代表（或授权代理人）：</w:t>
      </w:r>
    </w:p>
    <w:p>
      <w:pPr>
        <w:ind w:firstLine="480" w:firstLineChars="20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15"/>
          <w:szCs w:val="15"/>
        </w:rPr>
        <w:t xml:space="preserve">深圳市罗湖区和平路1163号龙兴大厦一层101、102房 </w:t>
      </w:r>
      <w:r>
        <w:rPr>
          <w:rFonts w:hint="eastAsia" w:ascii="宋体" w:hAnsi="宋体" w:eastAsia="宋体" w:cs="宋体"/>
          <w:sz w:val="24"/>
        </w:rPr>
        <w:t xml:space="preserve">     地址： </w:t>
      </w:r>
    </w:p>
    <w:p>
      <w:pPr>
        <w:ind w:firstLine="480" w:firstLineChars="200"/>
        <w:rPr>
          <w:rFonts w:ascii="宋体" w:hAnsi="宋体" w:eastAsia="宋体" w:cs="宋体"/>
          <w:sz w:val="24"/>
        </w:rPr>
      </w:pPr>
      <w:r>
        <w:rPr>
          <w:rFonts w:hint="eastAsia" w:ascii="宋体" w:hAnsi="宋体" w:eastAsia="宋体" w:cs="宋体"/>
          <w:sz w:val="24"/>
        </w:rPr>
        <w:t xml:space="preserve">联系电话：0755-84397184                   联系电话： </w:t>
      </w:r>
    </w:p>
    <w:p>
      <w:pPr>
        <w:ind w:firstLine="480" w:firstLineChars="200"/>
        <w:rPr>
          <w:rFonts w:ascii="宋体" w:hAnsi="宋体" w:eastAsia="宋体" w:cs="宋体"/>
          <w:sz w:val="24"/>
        </w:rPr>
      </w:pPr>
      <w:r>
        <w:rPr>
          <w:rFonts w:hint="eastAsia" w:ascii="宋体" w:hAnsi="宋体" w:eastAsia="宋体" w:cs="宋体"/>
          <w:sz w:val="24"/>
        </w:rPr>
        <w:t xml:space="preserve">年    月    日                           年    月    日   </w:t>
      </w:r>
    </w:p>
    <w:p>
      <w:pPr>
        <w:jc w:val="center"/>
        <w:rPr>
          <w:rFonts w:ascii="宋体" w:hAnsi="宋体" w:eastAsia="宋体" w:cs="宋体"/>
          <w:b/>
          <w:sz w:val="24"/>
        </w:rPr>
      </w:pPr>
      <w:r>
        <w:rPr>
          <w:rFonts w:hint="eastAsia" w:ascii="宋体" w:hAnsi="宋体" w:eastAsia="宋体" w:cs="宋体"/>
          <w:b/>
          <w:sz w:val="24"/>
          <w:u w:val="single"/>
        </w:rPr>
        <w:br w:type="page"/>
      </w:r>
      <w:r>
        <w:rPr>
          <w:rFonts w:hint="eastAsia" w:ascii="宋体" w:hAnsi="宋体" w:eastAsia="宋体" w:cs="宋体"/>
          <w:b/>
          <w:sz w:val="24"/>
        </w:rPr>
        <w:t>月份合同履行情况考核评价表</w:t>
      </w:r>
    </w:p>
    <w:p>
      <w:pPr>
        <w:tabs>
          <w:tab w:val="center" w:pos="4153"/>
          <w:tab w:val="right" w:pos="8820"/>
        </w:tabs>
        <w:ind w:left="-540" w:leftChars="-257" w:right="-693" w:rightChars="-330" w:firstLine="360" w:firstLineChars="15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管理处                                       年      月 </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jc w:val="center"/>
              <w:rPr>
                <w:rFonts w:ascii="宋体" w:hAnsi="宋体" w:eastAsia="宋体" w:cs="宋体"/>
                <w:sz w:val="24"/>
              </w:rPr>
            </w:pPr>
            <w:r>
              <w:rPr>
                <w:rFonts w:hint="eastAsia" w:ascii="宋体" w:hAnsi="宋体" w:eastAsia="宋体" w:cs="宋体"/>
                <w:sz w:val="24"/>
              </w:rPr>
              <w:t>合  同</w:t>
            </w:r>
          </w:p>
        </w:tc>
        <w:tc>
          <w:tcPr>
            <w:tcW w:w="6422" w:type="dxa"/>
            <w:vAlign w:val="center"/>
          </w:tcPr>
          <w:p>
            <w:pPr>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jc w:val="center"/>
              <w:rPr>
                <w:rFonts w:ascii="宋体" w:hAnsi="宋体" w:eastAsia="宋体" w:cs="宋体"/>
                <w:sz w:val="24"/>
              </w:rPr>
            </w:pPr>
            <w:r>
              <w:rPr>
                <w:rFonts w:hint="eastAsia" w:ascii="宋体" w:hAnsi="宋体" w:eastAsia="宋体" w:cs="宋体"/>
                <w:sz w:val="24"/>
              </w:rPr>
              <w:t>服务单位</w:t>
            </w:r>
          </w:p>
        </w:tc>
        <w:tc>
          <w:tcPr>
            <w:tcW w:w="6422" w:type="dxa"/>
            <w:vAlign w:val="center"/>
          </w:tcPr>
          <w:p>
            <w:pPr>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762" w:type="dxa"/>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管理处意见：</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2" w:type="dxa"/>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主管部门意见：</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p>
            <w:pPr>
              <w:tabs>
                <w:tab w:val="center" w:pos="4153"/>
                <w:tab w:val="right" w:pos="8306"/>
              </w:tabs>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2" w:type="dxa"/>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科室领导意见：</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2" w:type="dxa"/>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说明：管理处意见内容应包括：</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1、服务企业是否履行合同约定事项。</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2、对本合同及服务项目的意见及建议。</w:t>
            </w:r>
          </w:p>
        </w:tc>
      </w:tr>
    </w:tbl>
    <w:p>
      <w:pPr>
        <w:pStyle w:val="33"/>
        <w:rPr>
          <w:rFonts w:hAnsi="宋体" w:cs="宋体"/>
        </w:rPr>
      </w:pPr>
      <w:r>
        <w:rPr>
          <w:rFonts w:hint="eastAsia" w:hAnsi="宋体" w:cs="宋体"/>
        </w:rPr>
        <w:br w:type="page"/>
      </w:r>
    </w:p>
    <w:p>
      <w:pPr>
        <w:pStyle w:val="4"/>
        <w:jc w:val="center"/>
        <w:rPr>
          <w:rFonts w:hAnsi="宋体" w:cs="宋体"/>
          <w:b/>
          <w:sz w:val="48"/>
          <w:szCs w:val="30"/>
        </w:rPr>
      </w:pPr>
      <w:r>
        <w:rPr>
          <w:rFonts w:hint="eastAsia" w:hAnsi="宋体" w:cs="宋体"/>
          <w:b/>
          <w:sz w:val="48"/>
          <w:szCs w:val="30"/>
        </w:rPr>
        <w:t>2025-2026年度电梯维保服务合同（三）</w:t>
      </w:r>
    </w:p>
    <w:p>
      <w:pPr>
        <w:ind w:firstLine="422" w:firstLineChars="200"/>
        <w:rPr>
          <w:rFonts w:ascii="宋体" w:hAnsi="宋体" w:eastAsia="宋体" w:cs="宋体"/>
          <w:b/>
          <w:szCs w:val="21"/>
        </w:rPr>
      </w:pPr>
    </w:p>
    <w:p>
      <w:pPr>
        <w:ind w:firstLine="422" w:firstLineChars="200"/>
        <w:rPr>
          <w:rFonts w:ascii="宋体" w:hAnsi="宋体" w:eastAsia="宋体" w:cs="宋体"/>
          <w:b/>
          <w:szCs w:val="21"/>
        </w:rPr>
      </w:pPr>
      <w:r>
        <w:rPr>
          <w:rFonts w:hint="eastAsia" w:ascii="宋体" w:hAnsi="宋体" w:eastAsia="宋体" w:cs="宋体"/>
          <w:b/>
          <w:szCs w:val="21"/>
        </w:rPr>
        <w:t>甲方：深圳市鹏检物业管理有限公司</w:t>
      </w:r>
    </w:p>
    <w:p>
      <w:pPr>
        <w:ind w:firstLine="422" w:firstLineChars="200"/>
        <w:rPr>
          <w:rFonts w:ascii="宋体" w:hAnsi="宋体" w:eastAsia="宋体" w:cs="宋体"/>
          <w:b/>
          <w:szCs w:val="21"/>
        </w:rPr>
      </w:pPr>
      <w:r>
        <w:rPr>
          <w:rFonts w:hint="eastAsia" w:ascii="宋体" w:hAnsi="宋体" w:eastAsia="宋体" w:cs="宋体"/>
          <w:b/>
          <w:szCs w:val="21"/>
        </w:rPr>
        <w:t>乙方：</w:t>
      </w:r>
    </w:p>
    <w:p>
      <w:pPr>
        <w:ind w:firstLine="480" w:firstLineChars="200"/>
        <w:rPr>
          <w:rFonts w:ascii="宋体" w:hAnsi="宋体" w:eastAsia="宋体" w:cs="宋体"/>
          <w:sz w:val="24"/>
        </w:rPr>
      </w:pPr>
      <w:r>
        <w:rPr>
          <w:rFonts w:hint="eastAsia" w:ascii="宋体" w:hAnsi="宋体" w:eastAsia="宋体" w:cs="宋体"/>
          <w:sz w:val="24"/>
        </w:rPr>
        <w:t>甲乙双方本着友好协商、公平、互利的原则，就电梯日常维护保养和维修的有关事宜协商一致订立本合同。</w:t>
      </w:r>
    </w:p>
    <w:p>
      <w:pPr>
        <w:ind w:firstLine="480" w:firstLineChars="200"/>
        <w:rPr>
          <w:rFonts w:ascii="宋体" w:hAnsi="宋体" w:eastAsia="宋体" w:cs="宋体"/>
          <w:sz w:val="24"/>
        </w:rPr>
      </w:pPr>
      <w:r>
        <w:rPr>
          <w:rFonts w:hint="eastAsia" w:ascii="宋体" w:hAnsi="宋体" w:eastAsia="宋体" w:cs="宋体"/>
          <w:sz w:val="24"/>
        </w:rPr>
        <w:t>第一条 电梯概况</w:t>
      </w:r>
    </w:p>
    <w:tbl>
      <w:tblPr>
        <w:tblStyle w:val="86"/>
        <w:tblW w:w="89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66"/>
        <w:gridCol w:w="1056"/>
        <w:gridCol w:w="531"/>
        <w:gridCol w:w="1986"/>
        <w:gridCol w:w="1519"/>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0" w:type="auto"/>
            <w:shd w:val="clear" w:color="auto" w:fill="FFFFFF"/>
            <w:vAlign w:val="center"/>
          </w:tcPr>
          <w:p>
            <w:pPr>
              <w:textAlignment w:val="center"/>
              <w:rPr>
                <w:rFonts w:ascii="宋体" w:hAnsi="宋体" w:eastAsia="宋体" w:cs="宋体"/>
                <w:b/>
                <w:bCs/>
                <w:szCs w:val="21"/>
              </w:rPr>
            </w:pPr>
            <w:r>
              <w:rPr>
                <w:rFonts w:hint="eastAsia" w:ascii="宋体" w:hAnsi="宋体" w:eastAsia="宋体" w:cs="宋体"/>
                <w:b/>
                <w:bCs/>
                <w:szCs w:val="21"/>
              </w:rPr>
              <w:t>序号</w:t>
            </w:r>
          </w:p>
        </w:tc>
        <w:tc>
          <w:tcPr>
            <w:tcW w:w="0" w:type="auto"/>
            <w:shd w:val="clear" w:color="auto" w:fill="FFFFFF"/>
            <w:vAlign w:val="center"/>
          </w:tcPr>
          <w:p>
            <w:pPr>
              <w:textAlignment w:val="center"/>
              <w:rPr>
                <w:rFonts w:ascii="宋体" w:hAnsi="宋体" w:eastAsia="宋体" w:cs="宋体"/>
                <w:b/>
                <w:bCs/>
                <w:szCs w:val="21"/>
              </w:rPr>
            </w:pPr>
            <w:r>
              <w:rPr>
                <w:rFonts w:hint="eastAsia" w:ascii="宋体" w:hAnsi="宋体" w:eastAsia="宋体" w:cs="宋体"/>
                <w:b/>
                <w:bCs/>
                <w:szCs w:val="21"/>
              </w:rPr>
              <w:t>设备代码(后10位)</w:t>
            </w:r>
          </w:p>
        </w:tc>
        <w:tc>
          <w:tcPr>
            <w:tcW w:w="0" w:type="auto"/>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电梯品牌</w:t>
            </w:r>
          </w:p>
        </w:tc>
        <w:tc>
          <w:tcPr>
            <w:tcW w:w="0" w:type="auto"/>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层/站</w:t>
            </w:r>
          </w:p>
        </w:tc>
        <w:tc>
          <w:tcPr>
            <w:tcW w:w="2271" w:type="dxa"/>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运行地点</w:t>
            </w:r>
          </w:p>
        </w:tc>
        <w:tc>
          <w:tcPr>
            <w:tcW w:w="1616" w:type="dxa"/>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最高限价(元/年)</w:t>
            </w:r>
          </w:p>
        </w:tc>
        <w:tc>
          <w:tcPr>
            <w:tcW w:w="1641" w:type="dxa"/>
            <w:shd w:val="clear" w:color="auto" w:fill="FFFFFF"/>
            <w:vAlign w:val="center"/>
          </w:tcPr>
          <w:p>
            <w:pPr>
              <w:jc w:val="center"/>
              <w:textAlignment w:val="center"/>
              <w:rPr>
                <w:rFonts w:ascii="宋体" w:hAnsi="宋体" w:eastAsia="宋体" w:cs="宋体"/>
                <w:b/>
                <w:bCs/>
                <w:szCs w:val="21"/>
              </w:rPr>
            </w:pPr>
            <w:r>
              <w:rPr>
                <w:rFonts w:hint="eastAsia" w:ascii="宋体" w:hAnsi="宋体" w:eastAsia="宋体" w:cs="宋体"/>
                <w:b/>
                <w:bCs/>
                <w:szCs w:val="21"/>
              </w:rPr>
              <w:t>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2010000648</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三菱LEHY-II</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7层/7站</w:t>
            </w:r>
          </w:p>
        </w:tc>
        <w:tc>
          <w:tcPr>
            <w:tcW w:w="2271" w:type="dxa"/>
            <w:vMerge w:val="restart"/>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深圳市盐田区沙头角海景二路1008号（工业品中心办公区）</w:t>
            </w: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641" w:type="dxa"/>
            <w:vMerge w:val="restart"/>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2025.1.1-2025.12.31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2010000649</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三菱LEHY-II</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8层/8站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1998071115</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三菱GPS-II</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15层/15站</w:t>
            </w:r>
          </w:p>
        </w:tc>
        <w:tc>
          <w:tcPr>
            <w:tcW w:w="2271" w:type="dxa"/>
            <w:vMerge w:val="restart"/>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深圳市南山区蛇口工业八路289号（工业品中心办公区）</w:t>
            </w: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9000.00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4</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1998071116</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三菱GPS-II</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15层/15站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9000.00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5</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2013004769</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天奥电梯</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2层/2站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7200.00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6</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2003008425</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新力TWJ250</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4层/4站</w:t>
            </w:r>
          </w:p>
        </w:tc>
        <w:tc>
          <w:tcPr>
            <w:tcW w:w="2271"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深圳市南山区蛇口工业七路149号（工业品中心办公区）</w:t>
            </w: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7</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2007009330</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三菱Nexway-s</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17层/17站</w:t>
            </w:r>
          </w:p>
        </w:tc>
        <w:tc>
          <w:tcPr>
            <w:tcW w:w="2271" w:type="dxa"/>
            <w:vMerge w:val="restart"/>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深圳市福田区福强路1011号深圳海关福强路办公区A栋（福强路办公区）</w:t>
            </w: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8</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2007009328</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三菱Nexway-s</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17层/17站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9</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2007009329</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三菱Nexway-s</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17层/17站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2007009331</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33层/20站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13200.00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11</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2007009332</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33层/20站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13200.00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12</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2007009333</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33层/20站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13200.00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13</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2007009327</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34层/21站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13200.00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14</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2008000807</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33层/33站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13200.00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15</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2008000808</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三菱Nexway</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33层/33站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13200.00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16</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1994105905</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日立YPVF</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17层/17站</w:t>
            </w:r>
          </w:p>
        </w:tc>
        <w:tc>
          <w:tcPr>
            <w:tcW w:w="2271" w:type="dxa"/>
            <w:vMerge w:val="restart"/>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深圳市福田区福强路1011号深圳海关福强路办公区B栋（福强路办公区）</w:t>
            </w: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17</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1994105906</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日立YPVF</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17层/17站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18</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1994105907</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日立YPVF</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17层/17站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10200.00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19</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2014006314</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东南液压电梯</w:t>
            </w:r>
          </w:p>
        </w:tc>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3层/3站</w:t>
            </w:r>
          </w:p>
        </w:tc>
        <w:tc>
          <w:tcPr>
            <w:tcW w:w="2271" w:type="dxa"/>
            <w:vMerge w:val="continue"/>
            <w:shd w:val="clear" w:color="auto" w:fill="FFFFFF"/>
            <w:vAlign w:val="center"/>
          </w:tcPr>
          <w:p>
            <w:pPr>
              <w:jc w:val="center"/>
              <w:rPr>
                <w:rFonts w:ascii="宋体" w:hAnsi="宋体" w:eastAsia="宋体" w:cs="宋体"/>
                <w:szCs w:val="21"/>
              </w:rPr>
            </w:pPr>
          </w:p>
        </w:tc>
        <w:tc>
          <w:tcPr>
            <w:tcW w:w="1616" w:type="dxa"/>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7200.00</w:t>
            </w:r>
          </w:p>
        </w:tc>
        <w:tc>
          <w:tcPr>
            <w:tcW w:w="1641" w:type="dxa"/>
            <w:vMerge w:val="continue"/>
            <w:shd w:val="clear" w:color="auto" w:fill="FFFFFF"/>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20</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2010007704</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上海三菱LEHY</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6层/6站</w:t>
            </w:r>
          </w:p>
        </w:tc>
        <w:tc>
          <w:tcPr>
            <w:tcW w:w="2271" w:type="dxa"/>
            <w:vMerge w:val="restart"/>
            <w:vAlign w:val="center"/>
          </w:tcPr>
          <w:p>
            <w:pPr>
              <w:jc w:val="center"/>
              <w:textAlignment w:val="center"/>
              <w:rPr>
                <w:rFonts w:ascii="宋体" w:hAnsi="宋体" w:eastAsia="宋体" w:cs="宋体"/>
                <w:szCs w:val="21"/>
              </w:rPr>
            </w:pPr>
            <w:r>
              <w:rPr>
                <w:rFonts w:hint="eastAsia" w:ascii="宋体" w:hAnsi="宋体" w:eastAsia="宋体" w:cs="宋体"/>
                <w:szCs w:val="21"/>
              </w:rPr>
              <w:t>盐田区盐梅路新山边村1-2号梅沙B区</w:t>
            </w:r>
          </w:p>
        </w:tc>
        <w:tc>
          <w:tcPr>
            <w:tcW w:w="1616" w:type="dxa"/>
            <w:vAlign w:val="center"/>
          </w:tcPr>
          <w:p>
            <w:pPr>
              <w:jc w:val="center"/>
              <w:textAlignment w:val="center"/>
              <w:rPr>
                <w:rFonts w:ascii="宋体" w:hAnsi="宋体" w:eastAsia="宋体" w:cs="宋体"/>
                <w:szCs w:val="21"/>
              </w:rPr>
            </w:pPr>
            <w:r>
              <w:rPr>
                <w:rFonts w:hint="eastAsia" w:ascii="宋体" w:hAnsi="宋体" w:eastAsia="宋体" w:cs="宋体"/>
                <w:szCs w:val="21"/>
              </w:rPr>
              <w:t>7800.00</w:t>
            </w:r>
          </w:p>
        </w:tc>
        <w:tc>
          <w:tcPr>
            <w:tcW w:w="1641" w:type="dxa"/>
            <w:vMerge w:val="continue"/>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21</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2010007705</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上海三菱LEHY</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6层/6站</w:t>
            </w:r>
          </w:p>
        </w:tc>
        <w:tc>
          <w:tcPr>
            <w:tcW w:w="2271" w:type="dxa"/>
            <w:vMerge w:val="continue"/>
            <w:vAlign w:val="center"/>
          </w:tcPr>
          <w:p>
            <w:pPr>
              <w:jc w:val="center"/>
              <w:rPr>
                <w:rFonts w:ascii="宋体" w:hAnsi="宋体" w:eastAsia="宋体" w:cs="宋体"/>
                <w:szCs w:val="21"/>
              </w:rPr>
            </w:pPr>
          </w:p>
        </w:tc>
        <w:tc>
          <w:tcPr>
            <w:tcW w:w="1616" w:type="dxa"/>
            <w:vAlign w:val="center"/>
          </w:tcPr>
          <w:p>
            <w:pPr>
              <w:jc w:val="center"/>
              <w:textAlignment w:val="center"/>
              <w:rPr>
                <w:rFonts w:ascii="宋体" w:hAnsi="宋体" w:eastAsia="宋体" w:cs="宋体"/>
                <w:szCs w:val="21"/>
              </w:rPr>
            </w:pPr>
            <w:r>
              <w:rPr>
                <w:rFonts w:hint="eastAsia" w:ascii="宋体" w:hAnsi="宋体" w:eastAsia="宋体" w:cs="宋体"/>
                <w:szCs w:val="21"/>
              </w:rPr>
              <w:t>7800.00</w:t>
            </w:r>
          </w:p>
        </w:tc>
        <w:tc>
          <w:tcPr>
            <w:tcW w:w="1641" w:type="dxa"/>
            <w:vMerge w:val="continue"/>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22</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2010007706</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上海三菱LEHY</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5层/5站</w:t>
            </w:r>
          </w:p>
        </w:tc>
        <w:tc>
          <w:tcPr>
            <w:tcW w:w="2271" w:type="dxa"/>
            <w:vMerge w:val="continue"/>
            <w:vAlign w:val="center"/>
          </w:tcPr>
          <w:p>
            <w:pPr>
              <w:jc w:val="center"/>
              <w:rPr>
                <w:rFonts w:ascii="宋体" w:hAnsi="宋体" w:eastAsia="宋体" w:cs="宋体"/>
                <w:szCs w:val="21"/>
              </w:rPr>
            </w:pPr>
          </w:p>
        </w:tc>
        <w:tc>
          <w:tcPr>
            <w:tcW w:w="1616" w:type="dxa"/>
            <w:vAlign w:val="center"/>
          </w:tcPr>
          <w:p>
            <w:pPr>
              <w:jc w:val="center"/>
              <w:textAlignment w:val="center"/>
              <w:rPr>
                <w:rFonts w:ascii="宋体" w:hAnsi="宋体" w:eastAsia="宋体" w:cs="宋体"/>
                <w:szCs w:val="21"/>
              </w:rPr>
            </w:pPr>
            <w:r>
              <w:rPr>
                <w:rFonts w:hint="eastAsia" w:ascii="宋体" w:hAnsi="宋体" w:eastAsia="宋体" w:cs="宋体"/>
                <w:szCs w:val="21"/>
              </w:rPr>
              <w:t>7800.00</w:t>
            </w:r>
          </w:p>
        </w:tc>
        <w:tc>
          <w:tcPr>
            <w:tcW w:w="1641" w:type="dxa"/>
            <w:vMerge w:val="continue"/>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23</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2010007707</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上海三菱LEHY</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5层/5站</w:t>
            </w:r>
          </w:p>
        </w:tc>
        <w:tc>
          <w:tcPr>
            <w:tcW w:w="2271" w:type="dxa"/>
            <w:vMerge w:val="continue"/>
            <w:vAlign w:val="center"/>
          </w:tcPr>
          <w:p>
            <w:pPr>
              <w:jc w:val="center"/>
              <w:rPr>
                <w:rFonts w:ascii="宋体" w:hAnsi="宋体" w:eastAsia="宋体" w:cs="宋体"/>
                <w:szCs w:val="21"/>
              </w:rPr>
            </w:pPr>
          </w:p>
        </w:tc>
        <w:tc>
          <w:tcPr>
            <w:tcW w:w="1616" w:type="dxa"/>
            <w:vAlign w:val="center"/>
          </w:tcPr>
          <w:p>
            <w:pPr>
              <w:jc w:val="center"/>
              <w:textAlignment w:val="center"/>
              <w:rPr>
                <w:rFonts w:ascii="宋体" w:hAnsi="宋体" w:eastAsia="宋体" w:cs="宋体"/>
                <w:szCs w:val="21"/>
              </w:rPr>
            </w:pPr>
            <w:r>
              <w:rPr>
                <w:rFonts w:hint="eastAsia" w:ascii="宋体" w:hAnsi="宋体" w:eastAsia="宋体" w:cs="宋体"/>
                <w:szCs w:val="21"/>
              </w:rPr>
              <w:t>7800.00</w:t>
            </w:r>
          </w:p>
        </w:tc>
        <w:tc>
          <w:tcPr>
            <w:tcW w:w="1641" w:type="dxa"/>
            <w:vMerge w:val="continue"/>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24</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2017008509</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上海三菱ELENESSA</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2层/2站</w:t>
            </w:r>
          </w:p>
        </w:tc>
        <w:tc>
          <w:tcPr>
            <w:tcW w:w="2271" w:type="dxa"/>
            <w:vMerge w:val="continue"/>
            <w:vAlign w:val="center"/>
          </w:tcPr>
          <w:p>
            <w:pPr>
              <w:jc w:val="center"/>
              <w:rPr>
                <w:rFonts w:ascii="宋体" w:hAnsi="宋体" w:eastAsia="宋体" w:cs="宋体"/>
                <w:szCs w:val="21"/>
              </w:rPr>
            </w:pPr>
          </w:p>
        </w:tc>
        <w:tc>
          <w:tcPr>
            <w:tcW w:w="1616" w:type="dxa"/>
            <w:vAlign w:val="center"/>
          </w:tcPr>
          <w:p>
            <w:pPr>
              <w:jc w:val="center"/>
              <w:textAlignment w:val="center"/>
              <w:rPr>
                <w:rFonts w:ascii="宋体" w:hAnsi="宋体" w:eastAsia="宋体" w:cs="宋体"/>
                <w:szCs w:val="21"/>
              </w:rPr>
            </w:pPr>
            <w:r>
              <w:rPr>
                <w:rFonts w:hint="eastAsia" w:ascii="宋体" w:hAnsi="宋体" w:eastAsia="宋体" w:cs="宋体"/>
                <w:szCs w:val="21"/>
              </w:rPr>
              <w:t>6000.00</w:t>
            </w:r>
          </w:p>
        </w:tc>
        <w:tc>
          <w:tcPr>
            <w:tcW w:w="1641" w:type="dxa"/>
            <w:vMerge w:val="continue"/>
            <w:vAlign w:val="center"/>
          </w:tcPr>
          <w:p>
            <w:pPr>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25</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2004004029</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日立NPX</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8层/8站</w:t>
            </w:r>
          </w:p>
        </w:tc>
        <w:tc>
          <w:tcPr>
            <w:tcW w:w="2271" w:type="dxa"/>
            <w:vAlign w:val="center"/>
          </w:tcPr>
          <w:p>
            <w:pPr>
              <w:jc w:val="center"/>
              <w:rPr>
                <w:rFonts w:ascii="宋体" w:hAnsi="宋体" w:eastAsia="宋体" w:cs="宋体"/>
                <w:szCs w:val="21"/>
              </w:rPr>
            </w:pPr>
            <w:r>
              <w:rPr>
                <w:rFonts w:hint="eastAsia" w:ascii="宋体" w:hAnsi="宋体" w:eastAsia="宋体" w:cs="宋体"/>
                <w:szCs w:val="21"/>
              </w:rPr>
              <w:t>龙岗区清林中路33号</w:t>
            </w:r>
          </w:p>
        </w:tc>
        <w:tc>
          <w:tcPr>
            <w:tcW w:w="1616" w:type="dxa"/>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641" w:type="dxa"/>
            <w:vMerge w:val="restart"/>
            <w:vAlign w:val="center"/>
          </w:tcPr>
          <w:p>
            <w:pPr>
              <w:jc w:val="center"/>
              <w:textAlignment w:val="center"/>
              <w:rPr>
                <w:rFonts w:ascii="宋体" w:hAnsi="宋体" w:eastAsia="宋体" w:cs="宋体"/>
                <w:szCs w:val="21"/>
              </w:rPr>
            </w:pPr>
            <w:r>
              <w:rPr>
                <w:rFonts w:hint="eastAsia" w:ascii="宋体" w:hAnsi="宋体" w:eastAsia="宋体" w:cs="宋体"/>
                <w:szCs w:val="21"/>
              </w:rPr>
              <w:t>2025.3.31-2026.3.30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shd w:val="clear" w:color="auto" w:fill="FFFFFF"/>
            <w:vAlign w:val="center"/>
          </w:tcPr>
          <w:p>
            <w:pPr>
              <w:jc w:val="center"/>
              <w:textAlignment w:val="center"/>
              <w:rPr>
                <w:rFonts w:ascii="宋体" w:hAnsi="宋体" w:eastAsia="宋体" w:cs="宋体"/>
                <w:szCs w:val="21"/>
              </w:rPr>
            </w:pPr>
            <w:r>
              <w:rPr>
                <w:rFonts w:hint="eastAsia" w:ascii="宋体" w:hAnsi="宋体" w:eastAsia="宋体" w:cs="宋体"/>
                <w:szCs w:val="21"/>
              </w:rPr>
              <w:t>26</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2004004030</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日立NPX</w:t>
            </w:r>
          </w:p>
        </w:tc>
        <w:tc>
          <w:tcPr>
            <w:tcW w:w="0" w:type="auto"/>
            <w:vAlign w:val="center"/>
          </w:tcPr>
          <w:p>
            <w:pPr>
              <w:jc w:val="center"/>
              <w:textAlignment w:val="center"/>
              <w:rPr>
                <w:rFonts w:ascii="宋体" w:hAnsi="宋体" w:eastAsia="宋体" w:cs="宋体"/>
                <w:szCs w:val="21"/>
              </w:rPr>
            </w:pPr>
            <w:r>
              <w:rPr>
                <w:rFonts w:hint="eastAsia" w:ascii="宋体" w:hAnsi="宋体" w:eastAsia="宋体" w:cs="宋体"/>
                <w:szCs w:val="21"/>
              </w:rPr>
              <w:t>9层/9站</w:t>
            </w:r>
          </w:p>
        </w:tc>
        <w:tc>
          <w:tcPr>
            <w:tcW w:w="2271" w:type="dxa"/>
            <w:vAlign w:val="center"/>
          </w:tcPr>
          <w:p>
            <w:pPr>
              <w:jc w:val="center"/>
              <w:rPr>
                <w:rFonts w:ascii="宋体" w:hAnsi="宋体" w:eastAsia="宋体" w:cs="宋体"/>
                <w:szCs w:val="21"/>
              </w:rPr>
            </w:pPr>
            <w:r>
              <w:rPr>
                <w:rFonts w:hint="eastAsia" w:ascii="宋体" w:hAnsi="宋体" w:eastAsia="宋体" w:cs="宋体"/>
                <w:szCs w:val="21"/>
              </w:rPr>
              <w:t>龙岗区清林中路33号</w:t>
            </w:r>
          </w:p>
        </w:tc>
        <w:tc>
          <w:tcPr>
            <w:tcW w:w="1616" w:type="dxa"/>
            <w:vAlign w:val="center"/>
          </w:tcPr>
          <w:p>
            <w:pPr>
              <w:jc w:val="center"/>
              <w:textAlignment w:val="center"/>
              <w:rPr>
                <w:rFonts w:ascii="宋体" w:hAnsi="宋体" w:eastAsia="宋体" w:cs="宋体"/>
                <w:szCs w:val="21"/>
              </w:rPr>
            </w:pPr>
            <w:r>
              <w:rPr>
                <w:rFonts w:hint="eastAsia" w:ascii="宋体" w:hAnsi="宋体" w:eastAsia="宋体" w:cs="宋体"/>
                <w:szCs w:val="21"/>
              </w:rPr>
              <w:t>8400.00</w:t>
            </w:r>
          </w:p>
        </w:tc>
        <w:tc>
          <w:tcPr>
            <w:tcW w:w="1641" w:type="dxa"/>
            <w:vMerge w:val="continue"/>
            <w:vAlign w:val="center"/>
          </w:tcPr>
          <w:p>
            <w:pPr>
              <w:jc w:val="center"/>
              <w:textAlignment w:val="center"/>
              <w:rPr>
                <w:rFonts w:ascii="宋体" w:hAnsi="宋体" w:eastAsia="宋体" w:cs="宋体"/>
                <w:szCs w:val="21"/>
              </w:rPr>
            </w:pPr>
          </w:p>
        </w:tc>
      </w:tr>
    </w:tbl>
    <w:p>
      <w:pPr>
        <w:ind w:firstLine="420" w:firstLineChars="200"/>
        <w:rPr>
          <w:rFonts w:ascii="宋体" w:hAnsi="宋体" w:eastAsia="宋体" w:cs="宋体"/>
          <w:szCs w:val="21"/>
        </w:rPr>
      </w:pPr>
    </w:p>
    <w:p>
      <w:pPr>
        <w:ind w:firstLine="480" w:firstLineChars="200"/>
        <w:rPr>
          <w:rFonts w:ascii="宋体" w:hAnsi="宋体" w:eastAsia="宋体" w:cs="宋体"/>
          <w:sz w:val="24"/>
        </w:rPr>
      </w:pPr>
      <w:r>
        <w:rPr>
          <w:rFonts w:hint="eastAsia" w:ascii="宋体" w:hAnsi="宋体" w:eastAsia="宋体" w:cs="宋体"/>
          <w:sz w:val="24"/>
        </w:rPr>
        <w:t>第二条 电梯保养的内容和标准</w:t>
      </w:r>
    </w:p>
    <w:p>
      <w:pPr>
        <w:ind w:firstLine="480" w:firstLineChars="200"/>
        <w:rPr>
          <w:rFonts w:ascii="宋体" w:hAnsi="宋体" w:eastAsia="宋体" w:cs="宋体"/>
          <w:sz w:val="24"/>
        </w:rPr>
      </w:pPr>
      <w:r>
        <w:rPr>
          <w:rFonts w:hint="eastAsia" w:ascii="宋体" w:hAnsi="宋体" w:eastAsia="宋体" w:cs="宋体"/>
          <w:sz w:val="24"/>
        </w:rPr>
        <w:t>1、乙方应对电梯的现状进行详细的检查，检查结果由甲方签字确认后，根据电梯的现状，乙方应根据《电梯日常维护保养规则》完成15日、季度、半年、年保养项目，做好维护保养记录等，提出具体的电梯保养要求和方案供甲方参考，双方以此约定电梯日常保养和维修的具体内容。</w:t>
      </w:r>
    </w:p>
    <w:p>
      <w:pPr>
        <w:ind w:firstLine="480" w:firstLineChars="200"/>
        <w:rPr>
          <w:rFonts w:ascii="宋体" w:hAnsi="宋体" w:eastAsia="宋体" w:cs="宋体"/>
          <w:sz w:val="24"/>
        </w:rPr>
      </w:pPr>
      <w:r>
        <w:rPr>
          <w:rFonts w:hint="eastAsia" w:ascii="宋体" w:hAnsi="宋体" w:eastAsia="宋体" w:cs="宋体"/>
          <w:sz w:val="24"/>
        </w:rPr>
        <w:t>2、实施保养后的电梯应当符合《电梯维修规范》（GB/T18775）《电梯制造与安装安全规范》（GB 7588）和《自动扶梯和自动人行道的制造与安装安全规范》（GB 16899）的相关规定。</w:t>
      </w:r>
    </w:p>
    <w:p>
      <w:pPr>
        <w:ind w:firstLine="480" w:firstLineChars="200"/>
        <w:rPr>
          <w:rFonts w:ascii="宋体" w:hAnsi="宋体" w:eastAsia="宋体" w:cs="宋体"/>
          <w:sz w:val="24"/>
        </w:rPr>
      </w:pPr>
      <w:r>
        <w:rPr>
          <w:rFonts w:hint="eastAsia" w:ascii="宋体" w:hAnsi="宋体" w:eastAsia="宋体" w:cs="宋体"/>
          <w:sz w:val="24"/>
        </w:rPr>
        <w:t>第三条  合同总金额：</w:t>
      </w:r>
    </w:p>
    <w:p>
      <w:pPr>
        <w:ind w:firstLine="482" w:firstLineChars="200"/>
        <w:rPr>
          <w:rFonts w:ascii="宋体" w:hAnsi="宋体" w:eastAsia="宋体" w:cs="宋体"/>
          <w:b/>
          <w:sz w:val="24"/>
        </w:rPr>
      </w:pPr>
      <w:r>
        <w:rPr>
          <w:rFonts w:hint="eastAsia" w:ascii="宋体" w:hAnsi="宋体" w:eastAsia="宋体" w:cs="宋体"/>
          <w:b/>
          <w:sz w:val="24"/>
        </w:rPr>
        <w:t>人民币    （￥ ）。</w:t>
      </w:r>
    </w:p>
    <w:p>
      <w:pPr>
        <w:ind w:firstLine="480" w:firstLineChars="200"/>
        <w:rPr>
          <w:rFonts w:ascii="宋体" w:hAnsi="宋体" w:eastAsia="宋体" w:cs="宋体"/>
          <w:sz w:val="24"/>
        </w:rPr>
      </w:pPr>
      <w:r>
        <w:rPr>
          <w:rFonts w:hint="eastAsia" w:ascii="宋体" w:hAnsi="宋体" w:eastAsia="宋体" w:cs="宋体"/>
          <w:sz w:val="24"/>
          <w:szCs w:val="24"/>
        </w:rPr>
        <w:t>该项目为长期服务项目，合同一年一签，但最长不超过3年，甲方根据乙方履约情况，评估确定是否续签第二年合同，第三年以此类推。</w:t>
      </w:r>
    </w:p>
    <w:p>
      <w:pPr>
        <w:ind w:firstLine="480" w:firstLineChars="200"/>
        <w:rPr>
          <w:rFonts w:ascii="宋体" w:hAnsi="宋体" w:eastAsia="宋体" w:cs="宋体"/>
          <w:sz w:val="24"/>
        </w:rPr>
      </w:pPr>
      <w:r>
        <w:rPr>
          <w:rFonts w:hint="eastAsia" w:ascii="宋体" w:hAnsi="宋体" w:eastAsia="宋体" w:cs="宋体"/>
          <w:sz w:val="24"/>
        </w:rPr>
        <w:t>第四条  付款方式：</w:t>
      </w:r>
    </w:p>
    <w:p>
      <w:pPr>
        <w:numPr>
          <w:ilvl w:val="0"/>
          <w:numId w:val="38"/>
        </w:numPr>
        <w:spacing w:line="360" w:lineRule="auto"/>
        <w:ind w:left="0" w:firstLine="480" w:firstLineChars="200"/>
        <w:rPr>
          <w:rFonts w:ascii="宋体" w:hAnsi="宋体" w:eastAsia="宋体" w:cs="宋体"/>
          <w:sz w:val="24"/>
        </w:rPr>
      </w:pPr>
      <w:r>
        <w:rPr>
          <w:rFonts w:hint="eastAsia" w:ascii="宋体" w:hAnsi="宋体" w:eastAsia="宋体" w:cs="宋体"/>
          <w:sz w:val="24"/>
        </w:rPr>
        <w:t>乙方按月履约完成维保服务后开具发票给甲方，甲方按月考核乙方电梯维保质量并填写《合同履行情况考核评价表》作为支付乙方电梯维保费用依据，在收到乙方提供有效增值税专用发票后10个工作日内以银行转账的方式支付。当委托维保服务的电梯数量发生变化时，以实际结算为准。</w:t>
      </w:r>
    </w:p>
    <w:p>
      <w:pPr>
        <w:numPr>
          <w:ilvl w:val="0"/>
          <w:numId w:val="38"/>
        </w:numPr>
        <w:spacing w:line="360" w:lineRule="auto"/>
        <w:ind w:left="0" w:firstLine="480" w:firstLineChars="200"/>
        <w:rPr>
          <w:rFonts w:ascii="宋体" w:hAnsi="宋体" w:eastAsia="宋体" w:cs="宋体"/>
          <w:sz w:val="24"/>
        </w:rPr>
      </w:pPr>
      <w:r>
        <w:rPr>
          <w:rFonts w:hint="eastAsia" w:ascii="宋体" w:hAnsi="宋体" w:eastAsia="宋体" w:cs="宋体"/>
          <w:sz w:val="24"/>
        </w:rPr>
        <w:t>乙方银行转账信息：</w:t>
      </w:r>
    </w:p>
    <w:p>
      <w:pPr>
        <w:ind w:firstLine="480" w:firstLineChars="200"/>
        <w:rPr>
          <w:rFonts w:ascii="宋体" w:hAnsi="宋体" w:eastAsia="宋体" w:cs="宋体"/>
          <w:sz w:val="24"/>
        </w:rPr>
      </w:pPr>
      <w:r>
        <w:rPr>
          <w:rFonts w:hint="eastAsia" w:ascii="宋体" w:hAnsi="宋体" w:eastAsia="宋体" w:cs="宋体"/>
          <w:sz w:val="24"/>
        </w:rPr>
        <w:t xml:space="preserve">开户银行： </w:t>
      </w:r>
    </w:p>
    <w:p>
      <w:pPr>
        <w:ind w:firstLine="480" w:firstLineChars="200"/>
        <w:rPr>
          <w:rFonts w:ascii="宋体" w:hAnsi="宋体" w:eastAsia="宋体" w:cs="宋体"/>
          <w:sz w:val="24"/>
        </w:rPr>
      </w:pPr>
      <w:r>
        <w:rPr>
          <w:rFonts w:hint="eastAsia" w:ascii="宋体" w:hAnsi="宋体" w:eastAsia="宋体" w:cs="宋体"/>
          <w:sz w:val="24"/>
        </w:rPr>
        <w:t xml:space="preserve">账号： </w:t>
      </w:r>
    </w:p>
    <w:p>
      <w:pPr>
        <w:ind w:firstLine="480" w:firstLineChars="200"/>
        <w:rPr>
          <w:rFonts w:ascii="宋体" w:hAnsi="宋体" w:eastAsia="宋体" w:cs="宋体"/>
          <w:sz w:val="24"/>
        </w:rPr>
      </w:pPr>
      <w:r>
        <w:rPr>
          <w:rFonts w:hint="eastAsia" w:ascii="宋体" w:hAnsi="宋体" w:eastAsia="宋体" w:cs="宋体"/>
          <w:sz w:val="24"/>
        </w:rPr>
        <w:t>第五条  电梯保养材料费</w:t>
      </w:r>
    </w:p>
    <w:p>
      <w:pPr>
        <w:ind w:firstLine="480" w:firstLineChars="200"/>
        <w:rPr>
          <w:rFonts w:ascii="宋体" w:hAnsi="宋体" w:eastAsia="宋体" w:cs="宋体"/>
          <w:sz w:val="24"/>
        </w:rPr>
      </w:pPr>
      <w:r>
        <w:rPr>
          <w:rFonts w:hint="eastAsia" w:ascii="宋体" w:hAnsi="宋体" w:eastAsia="宋体" w:cs="宋体"/>
          <w:sz w:val="24"/>
        </w:rPr>
        <w:t>2、本合同约定：材料及零配件费用在400元以下的，由乙方承担。400元（含本数）以上的，由甲方承担。乙方在维护保养电梯时，对任何需要甲方支付费用的工程项目及零件更换，应列出维修项目、维修费用，以不高于市场价的零配件报价形式发书面通知甲方（400元以内配件免费，不需报价），经甲方签字许可后，乙方方可进行。电梯年检费及5年一次的载荷试验（含制动试验）及2年一次的限速器检测费用由甲方支付。</w:t>
      </w:r>
    </w:p>
    <w:p>
      <w:pPr>
        <w:ind w:firstLine="480" w:firstLineChars="200"/>
        <w:rPr>
          <w:rFonts w:ascii="宋体" w:hAnsi="宋体" w:eastAsia="宋体" w:cs="宋体"/>
          <w:sz w:val="24"/>
        </w:rPr>
      </w:pPr>
      <w:r>
        <w:rPr>
          <w:rFonts w:hint="eastAsia" w:ascii="宋体" w:hAnsi="宋体" w:eastAsia="宋体" w:cs="宋体"/>
          <w:sz w:val="24"/>
        </w:rPr>
        <w:t>第六条  乙方负责全年365天24小时紧急救援服务，24小时紧急救援服务热线电话。</w:t>
      </w:r>
    </w:p>
    <w:p>
      <w:pPr>
        <w:ind w:firstLine="480" w:firstLineChars="200"/>
        <w:rPr>
          <w:rFonts w:ascii="宋体" w:hAnsi="宋体" w:eastAsia="宋体" w:cs="宋体"/>
          <w:sz w:val="24"/>
        </w:rPr>
      </w:pPr>
      <w:r>
        <w:rPr>
          <w:rFonts w:hint="eastAsia" w:ascii="宋体" w:hAnsi="宋体" w:eastAsia="宋体" w:cs="宋体"/>
          <w:sz w:val="24"/>
        </w:rPr>
        <w:t>第七条 驻场服务</w:t>
      </w:r>
    </w:p>
    <w:p>
      <w:pPr>
        <w:ind w:firstLine="480" w:firstLineChars="200"/>
        <w:rPr>
          <w:rFonts w:ascii="宋体" w:hAnsi="宋体" w:eastAsia="宋体" w:cs="宋体"/>
          <w:sz w:val="24"/>
        </w:rPr>
      </w:pPr>
      <w:r>
        <w:rPr>
          <w:rFonts w:hint="eastAsia" w:ascii="宋体" w:hAnsi="宋体" w:eastAsia="宋体" w:cs="宋体"/>
          <w:sz w:val="24"/>
        </w:rPr>
        <w:t>根据甲方会务、贵宾接待需要，乙方接到甲方通知后必须提供驻场作业服务（驻场费用已经包含在电梯保养费中）。</w:t>
      </w:r>
    </w:p>
    <w:p>
      <w:pPr>
        <w:ind w:firstLine="480" w:firstLineChars="200"/>
        <w:rPr>
          <w:rFonts w:ascii="宋体" w:hAnsi="宋体" w:eastAsia="宋体" w:cs="宋体"/>
          <w:sz w:val="24"/>
        </w:rPr>
      </w:pPr>
      <w:r>
        <w:rPr>
          <w:rFonts w:hint="eastAsia" w:ascii="宋体" w:hAnsi="宋体" w:eastAsia="宋体" w:cs="宋体"/>
          <w:sz w:val="24"/>
        </w:rPr>
        <w:t>驻场作业人员职责：</w:t>
      </w:r>
    </w:p>
    <w:p>
      <w:pPr>
        <w:ind w:firstLine="480" w:firstLineChars="200"/>
        <w:rPr>
          <w:rFonts w:ascii="宋体" w:hAnsi="宋体" w:eastAsia="宋体" w:cs="宋体"/>
          <w:sz w:val="24"/>
        </w:rPr>
      </w:pPr>
      <w:r>
        <w:rPr>
          <w:rFonts w:hint="eastAsia" w:ascii="宋体" w:hAnsi="宋体" w:eastAsia="宋体" w:cs="宋体"/>
          <w:sz w:val="24"/>
        </w:rPr>
        <w:t>1 、服从甲方的相关现场作业人员管理规定。</w:t>
      </w:r>
    </w:p>
    <w:p>
      <w:pPr>
        <w:ind w:firstLine="480" w:firstLineChars="200"/>
        <w:rPr>
          <w:rFonts w:ascii="宋体" w:hAnsi="宋体" w:eastAsia="宋体" w:cs="宋体"/>
          <w:sz w:val="24"/>
        </w:rPr>
      </w:pPr>
      <w:r>
        <w:rPr>
          <w:rFonts w:hint="eastAsia" w:ascii="宋体" w:hAnsi="宋体" w:eastAsia="宋体" w:cs="宋体"/>
          <w:sz w:val="24"/>
        </w:rPr>
        <w:t>2、承担二十四小时现场困人紧急救援工作。</w:t>
      </w:r>
    </w:p>
    <w:p>
      <w:pPr>
        <w:ind w:firstLine="480" w:firstLineChars="200"/>
        <w:rPr>
          <w:rFonts w:ascii="宋体" w:hAnsi="宋体" w:eastAsia="宋体" w:cs="宋体"/>
          <w:sz w:val="24"/>
        </w:rPr>
      </w:pPr>
      <w:r>
        <w:rPr>
          <w:rFonts w:hint="eastAsia" w:ascii="宋体" w:hAnsi="宋体" w:eastAsia="宋体" w:cs="宋体"/>
          <w:sz w:val="24"/>
        </w:rPr>
        <w:t>3 、按照合同约定完成合同中的电梯保养工作内容。</w:t>
      </w:r>
    </w:p>
    <w:p>
      <w:pPr>
        <w:ind w:firstLine="480" w:firstLineChars="200"/>
        <w:rPr>
          <w:rFonts w:ascii="宋体" w:hAnsi="宋体" w:eastAsia="宋体" w:cs="宋体"/>
          <w:sz w:val="24"/>
        </w:rPr>
      </w:pPr>
      <w:r>
        <w:rPr>
          <w:rFonts w:hint="eastAsia" w:ascii="宋体" w:hAnsi="宋体" w:eastAsia="宋体" w:cs="宋体"/>
          <w:sz w:val="24"/>
        </w:rPr>
        <w:t>第八条  甲方权利、义务</w:t>
      </w:r>
    </w:p>
    <w:p>
      <w:pPr>
        <w:ind w:firstLine="480" w:firstLineChars="200"/>
        <w:rPr>
          <w:rFonts w:ascii="宋体" w:hAnsi="宋体" w:eastAsia="宋体" w:cs="宋体"/>
          <w:sz w:val="24"/>
        </w:rPr>
      </w:pPr>
      <w:r>
        <w:rPr>
          <w:rFonts w:hint="eastAsia" w:ascii="宋体" w:hAnsi="宋体" w:eastAsia="宋体" w:cs="宋体"/>
          <w:sz w:val="24"/>
        </w:rPr>
        <w:t>（一）权利</w:t>
      </w:r>
    </w:p>
    <w:p>
      <w:pPr>
        <w:ind w:firstLine="480" w:firstLineChars="200"/>
        <w:rPr>
          <w:rFonts w:ascii="宋体" w:hAnsi="宋体" w:eastAsia="宋体" w:cs="宋体"/>
          <w:sz w:val="24"/>
        </w:rPr>
      </w:pPr>
      <w:r>
        <w:rPr>
          <w:rFonts w:hint="eastAsia" w:ascii="宋体" w:hAnsi="宋体" w:eastAsia="宋体" w:cs="宋体"/>
          <w:sz w:val="24"/>
        </w:rPr>
        <w:t>1、有权监督乙方按照合同约定履行维护保养义务，发出故障通知或提出建议。</w:t>
      </w:r>
    </w:p>
    <w:p>
      <w:pPr>
        <w:ind w:firstLine="480" w:firstLineChars="200"/>
        <w:rPr>
          <w:rFonts w:ascii="宋体" w:hAnsi="宋体" w:eastAsia="宋体" w:cs="宋体"/>
          <w:sz w:val="24"/>
        </w:rPr>
      </w:pPr>
      <w:r>
        <w:rPr>
          <w:rFonts w:hint="eastAsia" w:ascii="宋体" w:hAnsi="宋体" w:eastAsia="宋体" w:cs="宋体"/>
          <w:sz w:val="24"/>
        </w:rPr>
        <w:t>2、有权要求乙方保障电梯的正常运行。乙方的维护保养达不到合同约定的维护保养标准或要求的，甲方有权拒绝在维护保养记录上签字。</w:t>
      </w:r>
    </w:p>
    <w:p>
      <w:pPr>
        <w:ind w:firstLine="480" w:firstLineChars="200"/>
        <w:rPr>
          <w:rFonts w:ascii="宋体" w:hAnsi="宋体" w:eastAsia="宋体" w:cs="宋体"/>
          <w:sz w:val="24"/>
        </w:rPr>
      </w:pPr>
      <w:r>
        <w:rPr>
          <w:rFonts w:hint="eastAsia" w:ascii="宋体" w:hAnsi="宋体" w:eastAsia="宋体" w:cs="宋体"/>
          <w:sz w:val="24"/>
        </w:rPr>
        <w:t>3、有权对乙方单方面违反合同约定进行处罚。</w:t>
      </w:r>
    </w:p>
    <w:p>
      <w:pPr>
        <w:ind w:firstLine="480" w:firstLineChars="200"/>
        <w:rPr>
          <w:rFonts w:ascii="宋体" w:hAnsi="宋体" w:eastAsia="宋体" w:cs="宋体"/>
          <w:sz w:val="24"/>
        </w:rPr>
      </w:pPr>
      <w:r>
        <w:rPr>
          <w:rFonts w:hint="eastAsia" w:ascii="宋体" w:hAnsi="宋体" w:eastAsia="宋体" w:cs="宋体"/>
          <w:sz w:val="24"/>
        </w:rPr>
        <w:t>（二）义务</w:t>
      </w:r>
    </w:p>
    <w:p>
      <w:pPr>
        <w:ind w:firstLine="480" w:firstLineChars="200"/>
        <w:rPr>
          <w:rFonts w:ascii="宋体" w:hAnsi="宋体" w:eastAsia="宋体" w:cs="宋体"/>
          <w:sz w:val="24"/>
        </w:rPr>
      </w:pPr>
      <w:r>
        <w:rPr>
          <w:rFonts w:hint="eastAsia" w:ascii="宋体" w:hAnsi="宋体" w:eastAsia="宋体" w:cs="宋体"/>
          <w:sz w:val="24"/>
        </w:rPr>
        <w:t>1、建立电梯安全运行管理制度，保证电梯的用电、消防、防雷、通风、通道、电话通讯、监控摄像和报警装置等系统安全可靠；并保证机房、井道、底坑无漏水、渗水现象，通往机房、底坑、滑轮间、井道安全门的通道畅通、照明充分。甲方的电梯监控室值班人员负责故障的统计。电梯发生故障时，及时通知乙方抢修，并应详细记录相关工作的具体时间。</w:t>
      </w:r>
    </w:p>
    <w:p>
      <w:pPr>
        <w:ind w:firstLine="480" w:firstLineChars="200"/>
        <w:rPr>
          <w:rFonts w:ascii="宋体" w:hAnsi="宋体" w:eastAsia="宋体" w:cs="宋体"/>
          <w:sz w:val="24"/>
        </w:rPr>
      </w:pPr>
      <w:r>
        <w:rPr>
          <w:rFonts w:hint="eastAsia" w:ascii="宋体" w:hAnsi="宋体" w:eastAsia="宋体" w:cs="宋体"/>
          <w:sz w:val="24"/>
        </w:rPr>
        <w:t>2、配备电梯安全管理人员负责电梯的日常安全管理：</w:t>
      </w:r>
    </w:p>
    <w:p>
      <w:pPr>
        <w:ind w:firstLine="480" w:firstLineChars="200"/>
        <w:rPr>
          <w:rFonts w:ascii="宋体" w:hAnsi="宋体" w:eastAsia="宋体" w:cs="宋体"/>
          <w:sz w:val="24"/>
        </w:rPr>
      </w:pPr>
      <w:r>
        <w:rPr>
          <w:rFonts w:hint="eastAsia" w:ascii="宋体" w:hAnsi="宋体" w:eastAsia="宋体" w:cs="宋体"/>
          <w:sz w:val="24"/>
        </w:rPr>
        <w:t>（1）负责电梯的使用管理；</w:t>
      </w:r>
    </w:p>
    <w:p>
      <w:pPr>
        <w:ind w:firstLine="480" w:firstLineChars="200"/>
        <w:rPr>
          <w:rFonts w:ascii="宋体" w:hAnsi="宋体" w:eastAsia="宋体" w:cs="宋体"/>
          <w:sz w:val="24"/>
        </w:rPr>
      </w:pPr>
      <w:r>
        <w:rPr>
          <w:rFonts w:hint="eastAsia" w:ascii="宋体" w:hAnsi="宋体" w:eastAsia="宋体" w:cs="宋体"/>
          <w:sz w:val="24"/>
        </w:rPr>
        <w:t>（2）负责对乙方的维护保养记录、修理记录签字确认；</w:t>
      </w:r>
    </w:p>
    <w:p>
      <w:pPr>
        <w:ind w:firstLine="480" w:firstLineChars="200"/>
        <w:rPr>
          <w:rFonts w:ascii="宋体" w:hAnsi="宋体" w:eastAsia="宋体" w:cs="宋体"/>
          <w:sz w:val="24"/>
        </w:rPr>
      </w:pPr>
      <w:r>
        <w:rPr>
          <w:rFonts w:hint="eastAsia" w:ascii="宋体" w:hAnsi="宋体" w:eastAsia="宋体" w:cs="宋体"/>
          <w:sz w:val="24"/>
        </w:rPr>
        <w:t>（3）负责对乙方提交的电梯安全隐患提示单签字确认。</w:t>
      </w:r>
    </w:p>
    <w:p>
      <w:pPr>
        <w:ind w:firstLine="480" w:firstLineChars="200"/>
        <w:rPr>
          <w:rFonts w:ascii="宋体" w:hAnsi="宋体" w:eastAsia="宋体" w:cs="宋体"/>
          <w:sz w:val="24"/>
        </w:rPr>
      </w:pPr>
      <w:r>
        <w:rPr>
          <w:rFonts w:hint="eastAsia" w:ascii="宋体" w:hAnsi="宋体" w:eastAsia="宋体" w:cs="宋体"/>
          <w:sz w:val="24"/>
        </w:rPr>
        <w:t>（4）如果更换电梯安全管理人员，应当及时通知乙方。</w:t>
      </w:r>
    </w:p>
    <w:p>
      <w:pPr>
        <w:ind w:firstLine="480" w:firstLineChars="200"/>
        <w:rPr>
          <w:rFonts w:ascii="宋体" w:hAnsi="宋体" w:eastAsia="宋体" w:cs="宋体"/>
          <w:sz w:val="24"/>
        </w:rPr>
      </w:pPr>
      <w:r>
        <w:rPr>
          <w:rFonts w:hint="eastAsia" w:ascii="宋体" w:hAnsi="宋体" w:eastAsia="宋体" w:cs="宋体"/>
          <w:sz w:val="24"/>
        </w:rPr>
        <w:t>3、在电梯使用过程中发现故障或异常情况应当立即停止使用，并及时通知乙方。</w:t>
      </w:r>
    </w:p>
    <w:p>
      <w:pPr>
        <w:ind w:firstLine="480" w:firstLineChars="200"/>
        <w:rPr>
          <w:rFonts w:ascii="宋体" w:hAnsi="宋体" w:eastAsia="宋体" w:cs="宋体"/>
          <w:sz w:val="24"/>
        </w:rPr>
      </w:pPr>
      <w:r>
        <w:rPr>
          <w:rFonts w:hint="eastAsia" w:ascii="宋体" w:hAnsi="宋体" w:eastAsia="宋体" w:cs="宋体"/>
          <w:sz w:val="24"/>
        </w:rPr>
        <w:t>4、除乙方无法解决的情况外，未经乙方书面许可不得允许非乙方人员从事与电梯维护保养有关的工作。</w:t>
      </w:r>
    </w:p>
    <w:p>
      <w:pPr>
        <w:ind w:firstLine="480" w:firstLineChars="200"/>
        <w:rPr>
          <w:rFonts w:ascii="宋体" w:hAnsi="宋体" w:eastAsia="宋体" w:cs="宋体"/>
          <w:sz w:val="24"/>
        </w:rPr>
      </w:pPr>
      <w:r>
        <w:rPr>
          <w:rFonts w:hint="eastAsia" w:ascii="宋体" w:hAnsi="宋体" w:eastAsia="宋体" w:cs="宋体"/>
          <w:sz w:val="24"/>
        </w:rPr>
        <w:t>5、应当为乙方提供维护保养所需的工作环境。</w:t>
      </w:r>
    </w:p>
    <w:p>
      <w:pPr>
        <w:ind w:firstLine="480" w:firstLineChars="200"/>
        <w:rPr>
          <w:rFonts w:ascii="宋体" w:hAnsi="宋体" w:eastAsia="宋体" w:cs="宋体"/>
          <w:sz w:val="24"/>
        </w:rPr>
      </w:pPr>
      <w:r>
        <w:rPr>
          <w:rFonts w:hint="eastAsia" w:ascii="宋体" w:hAnsi="宋体" w:eastAsia="宋体" w:cs="宋体"/>
          <w:sz w:val="24"/>
        </w:rPr>
        <w:t>第九条  乙方权利、义务</w:t>
      </w:r>
    </w:p>
    <w:p>
      <w:pPr>
        <w:ind w:firstLine="480" w:firstLineChars="200"/>
        <w:rPr>
          <w:rFonts w:ascii="宋体" w:hAnsi="宋体" w:eastAsia="宋体" w:cs="宋体"/>
          <w:sz w:val="24"/>
        </w:rPr>
      </w:pPr>
      <w:r>
        <w:rPr>
          <w:rFonts w:hint="eastAsia" w:ascii="宋体" w:hAnsi="宋体" w:eastAsia="宋体" w:cs="宋体"/>
          <w:sz w:val="24"/>
        </w:rPr>
        <w:t>（一）权利</w:t>
      </w:r>
    </w:p>
    <w:p>
      <w:pPr>
        <w:ind w:firstLine="480" w:firstLineChars="200"/>
        <w:rPr>
          <w:rFonts w:ascii="宋体" w:hAnsi="宋体" w:eastAsia="宋体" w:cs="宋体"/>
          <w:sz w:val="24"/>
        </w:rPr>
      </w:pPr>
      <w:r>
        <w:rPr>
          <w:rFonts w:hint="eastAsia" w:ascii="宋体" w:hAnsi="宋体" w:eastAsia="宋体" w:cs="宋体"/>
          <w:sz w:val="24"/>
        </w:rPr>
        <w:t xml:space="preserve">    1、有权要求甲方提供维护保养所需的工作环境及相关资料。</w:t>
      </w:r>
    </w:p>
    <w:p>
      <w:pPr>
        <w:ind w:firstLine="480" w:firstLineChars="200"/>
        <w:rPr>
          <w:rFonts w:ascii="宋体" w:hAnsi="宋体" w:eastAsia="宋体" w:cs="宋体"/>
          <w:sz w:val="24"/>
        </w:rPr>
      </w:pPr>
      <w:r>
        <w:rPr>
          <w:rFonts w:hint="eastAsia" w:ascii="宋体" w:hAnsi="宋体" w:eastAsia="宋体" w:cs="宋体"/>
          <w:sz w:val="24"/>
        </w:rPr>
        <w:t>2、乙方有权拒绝甲方提出的影响电梯安全运行的要求。</w:t>
      </w:r>
    </w:p>
    <w:p>
      <w:pPr>
        <w:ind w:firstLine="480" w:firstLineChars="200"/>
        <w:rPr>
          <w:rFonts w:ascii="宋体" w:hAnsi="宋体" w:eastAsia="宋体" w:cs="宋体"/>
          <w:sz w:val="24"/>
        </w:rPr>
      </w:pPr>
      <w:r>
        <w:rPr>
          <w:rFonts w:hint="eastAsia" w:ascii="宋体" w:hAnsi="宋体" w:eastAsia="宋体" w:cs="宋体"/>
          <w:sz w:val="24"/>
        </w:rPr>
        <w:t>（二）义务</w:t>
      </w:r>
    </w:p>
    <w:p>
      <w:pPr>
        <w:ind w:firstLine="480" w:firstLineChars="200"/>
        <w:rPr>
          <w:rFonts w:ascii="宋体" w:hAnsi="宋体" w:eastAsia="宋体" w:cs="宋体"/>
          <w:sz w:val="24"/>
        </w:rPr>
      </w:pPr>
      <w:r>
        <w:rPr>
          <w:rFonts w:hint="eastAsia" w:ascii="宋体" w:hAnsi="宋体" w:eastAsia="宋体" w:cs="宋体"/>
          <w:sz w:val="24"/>
        </w:rPr>
        <w:t>1、应当具备市特种设备安全监督管理部门核发的相应许可。</w:t>
      </w:r>
    </w:p>
    <w:p>
      <w:pPr>
        <w:ind w:firstLine="480" w:firstLineChars="200"/>
        <w:rPr>
          <w:rFonts w:ascii="宋体" w:hAnsi="宋体" w:eastAsia="宋体" w:cs="宋体"/>
          <w:sz w:val="24"/>
        </w:rPr>
      </w:pPr>
      <w:r>
        <w:rPr>
          <w:rFonts w:hint="eastAsia" w:ascii="宋体" w:hAnsi="宋体" w:eastAsia="宋体" w:cs="宋体"/>
          <w:sz w:val="24"/>
        </w:rPr>
        <w:t>2、接到故障通知后，应当立即赶赴现场进行处理；电梯困人时，应当在30分钟内（此时间最长不得超过30分钟）抵达现场,一般故障40分钟内到达现场。</w:t>
      </w:r>
    </w:p>
    <w:p>
      <w:pPr>
        <w:ind w:firstLine="480" w:firstLineChars="200"/>
        <w:rPr>
          <w:rFonts w:ascii="宋体" w:hAnsi="宋体" w:eastAsia="宋体" w:cs="宋体"/>
          <w:sz w:val="24"/>
        </w:rPr>
      </w:pPr>
      <w:r>
        <w:rPr>
          <w:rFonts w:hint="eastAsia" w:ascii="宋体" w:hAnsi="宋体" w:eastAsia="宋体" w:cs="宋体"/>
          <w:sz w:val="24"/>
        </w:rPr>
        <w:t>3、拟派项目人员架构（项目负责人除外）不得少于12人，且应当取得相应的《特种设备作业人员证》。</w:t>
      </w:r>
    </w:p>
    <w:p>
      <w:pPr>
        <w:ind w:firstLine="480" w:firstLineChars="200"/>
        <w:rPr>
          <w:rFonts w:ascii="宋体" w:hAnsi="宋体" w:eastAsia="宋体" w:cs="宋体"/>
          <w:sz w:val="24"/>
        </w:rPr>
      </w:pPr>
      <w:r>
        <w:rPr>
          <w:rFonts w:hint="eastAsia" w:ascii="宋体" w:hAnsi="宋体" w:eastAsia="宋体" w:cs="宋体"/>
          <w:sz w:val="24"/>
        </w:rPr>
        <w:t>4、现场作业人员不得少于两人，且应当取得相应的《特种设备作业人员证》。</w:t>
      </w:r>
    </w:p>
    <w:p>
      <w:pPr>
        <w:ind w:firstLine="480" w:firstLineChars="200"/>
        <w:rPr>
          <w:rFonts w:ascii="宋体" w:hAnsi="宋体" w:eastAsia="宋体" w:cs="宋体"/>
          <w:sz w:val="24"/>
        </w:rPr>
      </w:pPr>
      <w:r>
        <w:rPr>
          <w:rFonts w:hint="eastAsia" w:ascii="宋体" w:hAnsi="宋体" w:eastAsia="宋体" w:cs="宋体"/>
          <w:sz w:val="24"/>
        </w:rPr>
        <w:t>5、作业中应当负责落实现场安全防护措施，保证作业安全。</w:t>
      </w:r>
    </w:p>
    <w:p>
      <w:pPr>
        <w:ind w:firstLine="480" w:firstLineChars="200"/>
        <w:rPr>
          <w:rFonts w:ascii="宋体" w:hAnsi="宋体" w:eastAsia="宋体" w:cs="宋体"/>
          <w:sz w:val="24"/>
        </w:rPr>
      </w:pPr>
      <w:r>
        <w:rPr>
          <w:rFonts w:hint="eastAsia" w:ascii="宋体" w:hAnsi="宋体" w:eastAsia="宋体" w:cs="宋体"/>
          <w:sz w:val="24"/>
        </w:rPr>
        <w:t>6、提供本合同电梯保养的半月、季度、半年、年度维护保养计划及具体实施时间表，并按时进行保养服务，每次保养时间不少于两小时。</w:t>
      </w:r>
    </w:p>
    <w:p>
      <w:pPr>
        <w:ind w:firstLine="480" w:firstLineChars="200"/>
        <w:rPr>
          <w:rFonts w:ascii="宋体" w:hAnsi="宋体" w:eastAsia="宋体" w:cs="宋体"/>
          <w:sz w:val="24"/>
        </w:rPr>
      </w:pPr>
      <w:r>
        <w:rPr>
          <w:rFonts w:hint="eastAsia" w:ascii="宋体" w:hAnsi="宋体" w:eastAsia="宋体" w:cs="宋体"/>
          <w:sz w:val="24"/>
        </w:rPr>
        <w:t>7、根据甲方的故障统计记录提出故障分析报告，报告中应包含电梯故障的整改措施和预防措施、有关电梯使用管理的合理化建议。</w:t>
      </w:r>
    </w:p>
    <w:p>
      <w:pPr>
        <w:ind w:firstLine="480" w:firstLineChars="200"/>
        <w:rPr>
          <w:rFonts w:ascii="宋体" w:hAnsi="宋体" w:eastAsia="宋体" w:cs="宋体"/>
          <w:sz w:val="24"/>
        </w:rPr>
      </w:pPr>
      <w:r>
        <w:rPr>
          <w:rFonts w:hint="eastAsia" w:ascii="宋体" w:hAnsi="宋体" w:eastAsia="宋体" w:cs="宋体"/>
          <w:sz w:val="24"/>
        </w:rPr>
        <w:t>8、当需要完成合同之外所需的重大维修项目时，乙方应及时将相关工程内容和报价提供给甲方。</w:t>
      </w:r>
    </w:p>
    <w:p>
      <w:pPr>
        <w:ind w:firstLine="480" w:firstLineChars="200"/>
        <w:rPr>
          <w:rFonts w:ascii="宋体" w:hAnsi="宋体" w:eastAsia="宋体" w:cs="宋体"/>
          <w:sz w:val="24"/>
        </w:rPr>
      </w:pPr>
      <w:r>
        <w:rPr>
          <w:rFonts w:hint="eastAsia" w:ascii="宋体" w:hAnsi="宋体" w:eastAsia="宋体" w:cs="宋体"/>
          <w:sz w:val="24"/>
        </w:rPr>
        <w:t>9、对所维护保养电梯的安全运行负责，保障设备整机及零部件完整无损。</w:t>
      </w:r>
    </w:p>
    <w:p>
      <w:pPr>
        <w:ind w:firstLine="480" w:firstLineChars="200"/>
        <w:rPr>
          <w:rFonts w:ascii="宋体" w:hAnsi="宋体" w:eastAsia="宋体" w:cs="宋体"/>
          <w:sz w:val="24"/>
        </w:rPr>
      </w:pPr>
      <w:r>
        <w:rPr>
          <w:rFonts w:hint="eastAsia" w:ascii="宋体" w:hAnsi="宋体" w:eastAsia="宋体" w:cs="宋体"/>
          <w:sz w:val="24"/>
        </w:rPr>
        <w:t>10、建立回访制度（包括工作人员服务态度、维修质量、是否按照规定实施维护保养等）。</w:t>
      </w:r>
    </w:p>
    <w:p>
      <w:pPr>
        <w:ind w:firstLine="480" w:firstLineChars="200"/>
        <w:rPr>
          <w:rFonts w:ascii="宋体" w:hAnsi="宋体" w:eastAsia="宋体" w:cs="宋体"/>
          <w:sz w:val="24"/>
        </w:rPr>
      </w:pPr>
      <w:r>
        <w:rPr>
          <w:rFonts w:hint="eastAsia" w:ascii="宋体" w:hAnsi="宋体" w:eastAsia="宋体" w:cs="宋体"/>
          <w:sz w:val="24"/>
        </w:rPr>
        <w:t>11、由企业电梯安全检测员每半年对电梯进行一次安全检测（检测员须持检验员证），并提出相应整改报告。</w:t>
      </w:r>
    </w:p>
    <w:p>
      <w:pPr>
        <w:ind w:firstLine="480" w:firstLineChars="200"/>
        <w:rPr>
          <w:rFonts w:ascii="宋体" w:hAnsi="宋体" w:eastAsia="宋体" w:cs="宋体"/>
          <w:sz w:val="24"/>
        </w:rPr>
      </w:pPr>
      <w:r>
        <w:rPr>
          <w:rFonts w:hint="eastAsia" w:ascii="宋体" w:hAnsi="宋体" w:eastAsia="宋体" w:cs="宋体"/>
          <w:sz w:val="24"/>
        </w:rPr>
        <w:t>12、应当在电梯安全检验合格有效期届满前1个月，向电梯检验检测机构提出定期检验申请。配合电梯检验检测机构对电梯的定期检验，并保证通过电梯检验检测机构对电梯的定期检验合格。</w:t>
      </w:r>
    </w:p>
    <w:p>
      <w:pPr>
        <w:ind w:firstLine="480" w:firstLineChars="200"/>
        <w:rPr>
          <w:rFonts w:ascii="宋体" w:hAnsi="宋体" w:eastAsia="宋体" w:cs="宋体"/>
          <w:sz w:val="24"/>
        </w:rPr>
      </w:pPr>
      <w:r>
        <w:rPr>
          <w:rFonts w:hint="eastAsia" w:ascii="宋体" w:hAnsi="宋体" w:eastAsia="宋体" w:cs="宋体"/>
          <w:sz w:val="24"/>
        </w:rPr>
        <w:t>13、协助甲方制定紧急救援预案并参与电梯的紧急救援工作,积极参与电梯安全管理的各项活动。</w:t>
      </w:r>
    </w:p>
    <w:p>
      <w:pPr>
        <w:ind w:firstLine="480" w:firstLineChars="200"/>
        <w:rPr>
          <w:rFonts w:ascii="宋体" w:hAnsi="宋体" w:eastAsia="宋体" w:cs="宋体"/>
          <w:sz w:val="24"/>
        </w:rPr>
      </w:pPr>
      <w:r>
        <w:rPr>
          <w:rFonts w:hint="eastAsia" w:ascii="宋体" w:hAnsi="宋体" w:eastAsia="宋体" w:cs="宋体"/>
          <w:sz w:val="24"/>
        </w:rPr>
        <w:t>14、如遇召开大型活动或重要检查时，提前一天对电梯进行检查保养，并于领导参观、视察当天派技术人员驻守上述大厦，确保电梯安全稳定运行。</w:t>
      </w:r>
    </w:p>
    <w:p>
      <w:pPr>
        <w:ind w:firstLine="480" w:firstLineChars="200"/>
        <w:rPr>
          <w:rFonts w:ascii="宋体" w:hAnsi="宋体" w:eastAsia="宋体" w:cs="宋体"/>
          <w:sz w:val="24"/>
        </w:rPr>
      </w:pPr>
      <w:r>
        <w:rPr>
          <w:rFonts w:hint="eastAsia" w:ascii="宋体" w:hAnsi="宋体" w:eastAsia="宋体" w:cs="宋体"/>
          <w:sz w:val="24"/>
        </w:rPr>
        <w:t>15、应当妥善保管电梯图纸及相关资料，并在合同终止后交给甲方。</w:t>
      </w:r>
    </w:p>
    <w:p>
      <w:pPr>
        <w:ind w:firstLine="480" w:firstLineChars="200"/>
        <w:rPr>
          <w:rFonts w:ascii="宋体" w:hAnsi="宋体" w:eastAsia="宋体" w:cs="宋体"/>
          <w:sz w:val="24"/>
        </w:rPr>
      </w:pPr>
      <w:r>
        <w:rPr>
          <w:rFonts w:hint="eastAsia" w:ascii="宋体" w:hAnsi="宋体" w:eastAsia="宋体" w:cs="宋体"/>
          <w:sz w:val="24"/>
        </w:rPr>
        <w:t>16、不得以任何形式分包、转包。</w:t>
      </w:r>
    </w:p>
    <w:p>
      <w:pPr>
        <w:ind w:firstLine="480" w:firstLineChars="200"/>
        <w:rPr>
          <w:rFonts w:ascii="宋体" w:hAnsi="宋体" w:eastAsia="宋体" w:cs="宋体"/>
          <w:sz w:val="24"/>
        </w:rPr>
      </w:pPr>
      <w:r>
        <w:rPr>
          <w:rFonts w:hint="eastAsia" w:ascii="宋体" w:hAnsi="宋体" w:eastAsia="宋体" w:cs="宋体"/>
          <w:sz w:val="24"/>
        </w:rPr>
        <w:t>17、当电梯存在安全隐患时，乙方应及时采取停梯措施并立刻通知甲方停用。</w:t>
      </w:r>
    </w:p>
    <w:p>
      <w:pPr>
        <w:ind w:firstLine="480" w:firstLineChars="200"/>
        <w:rPr>
          <w:rFonts w:ascii="宋体" w:hAnsi="宋体" w:eastAsia="宋体" w:cs="宋体"/>
          <w:sz w:val="24"/>
        </w:rPr>
      </w:pPr>
      <w:r>
        <w:rPr>
          <w:rFonts w:hint="eastAsia" w:ascii="宋体" w:hAnsi="宋体" w:eastAsia="宋体" w:cs="宋体"/>
          <w:sz w:val="24"/>
        </w:rPr>
        <w:t>18、在维修、保养、检查作业时，接受甲方工作人员的全程监督。作业工程单须由甲方工作人员签名确认。</w:t>
      </w:r>
    </w:p>
    <w:p>
      <w:pPr>
        <w:ind w:firstLine="480" w:firstLineChars="200"/>
        <w:rPr>
          <w:rFonts w:ascii="宋体" w:hAnsi="宋体" w:eastAsia="宋体" w:cs="宋体"/>
          <w:sz w:val="24"/>
        </w:rPr>
      </w:pPr>
      <w:r>
        <w:rPr>
          <w:rFonts w:hint="eastAsia" w:ascii="宋体" w:hAnsi="宋体" w:eastAsia="宋体" w:cs="宋体"/>
          <w:sz w:val="24"/>
        </w:rPr>
        <w:t>19、乙方须按照投标时提供的《电梯配件易损件清单》，在甲方指定地点建立备品备件库。</w:t>
      </w:r>
    </w:p>
    <w:p>
      <w:pPr>
        <w:ind w:firstLine="480" w:firstLineChars="200"/>
        <w:rPr>
          <w:rFonts w:ascii="宋体" w:hAnsi="宋体" w:eastAsia="宋体" w:cs="宋体"/>
          <w:sz w:val="24"/>
        </w:rPr>
      </w:pPr>
      <w:r>
        <w:rPr>
          <w:rFonts w:hint="eastAsia" w:ascii="宋体" w:hAnsi="宋体" w:eastAsia="宋体" w:cs="宋体"/>
          <w:sz w:val="24"/>
        </w:rPr>
        <w:t>第十条  违约责任</w:t>
      </w:r>
    </w:p>
    <w:p>
      <w:pPr>
        <w:ind w:firstLine="480" w:firstLineChars="200"/>
        <w:rPr>
          <w:rFonts w:ascii="宋体" w:hAnsi="宋体" w:eastAsia="宋体" w:cs="宋体"/>
          <w:sz w:val="24"/>
        </w:rPr>
      </w:pPr>
      <w:r>
        <w:rPr>
          <w:rFonts w:hint="eastAsia" w:ascii="宋体" w:hAnsi="宋体" w:eastAsia="宋体" w:cs="宋体"/>
          <w:sz w:val="24"/>
        </w:rPr>
        <w:t>（一）一方当事人未按约定履行义务给对方造成直接损失的，应当承担赔偿责任。</w:t>
      </w:r>
    </w:p>
    <w:p>
      <w:pPr>
        <w:ind w:firstLine="480" w:firstLineChars="200"/>
        <w:rPr>
          <w:rFonts w:ascii="宋体" w:hAnsi="宋体" w:eastAsia="宋体" w:cs="宋体"/>
          <w:sz w:val="24"/>
        </w:rPr>
      </w:pPr>
      <w:r>
        <w:rPr>
          <w:rFonts w:hint="eastAsia" w:ascii="宋体" w:hAnsi="宋体" w:eastAsia="宋体" w:cs="宋体"/>
          <w:sz w:val="24"/>
        </w:rPr>
        <w:t>（二）一方当事人无法继续履行合同的，应当及时通知另一方，并由责任方承担因合同解除而造成的损失。</w:t>
      </w:r>
    </w:p>
    <w:p>
      <w:pPr>
        <w:ind w:firstLine="480" w:firstLineChars="200"/>
        <w:rPr>
          <w:rFonts w:ascii="宋体" w:hAnsi="宋体" w:eastAsia="宋体" w:cs="宋体"/>
          <w:sz w:val="24"/>
        </w:rPr>
      </w:pPr>
      <w:r>
        <w:rPr>
          <w:rFonts w:hint="eastAsia" w:ascii="宋体" w:hAnsi="宋体" w:eastAsia="宋体" w:cs="宋体"/>
          <w:sz w:val="24"/>
        </w:rPr>
        <w:t>（三） 甲方无正当理由未按照约定期限支付费用的，每延误一日应当向乙方支付延误部分月费用1%的违约金。超过双方约定的60日时，本合同自动终止。</w:t>
      </w:r>
    </w:p>
    <w:p>
      <w:pPr>
        <w:ind w:firstLine="480" w:firstLineChars="200"/>
        <w:rPr>
          <w:rFonts w:ascii="宋体" w:hAnsi="宋体" w:eastAsia="宋体" w:cs="宋体"/>
          <w:sz w:val="24"/>
        </w:rPr>
      </w:pPr>
      <w:r>
        <w:rPr>
          <w:rFonts w:hint="eastAsia" w:ascii="宋体" w:hAnsi="宋体" w:eastAsia="宋体" w:cs="宋体"/>
          <w:sz w:val="24"/>
        </w:rPr>
        <w:t>（四）甲方违反约定允许非乙方人员从事电梯维护保养工作的，应当按照月费用5%标准支付违约金。</w:t>
      </w:r>
    </w:p>
    <w:p>
      <w:pPr>
        <w:ind w:firstLine="480" w:firstLineChars="200"/>
        <w:rPr>
          <w:rFonts w:ascii="宋体" w:hAnsi="宋体" w:eastAsia="宋体" w:cs="宋体"/>
          <w:sz w:val="24"/>
        </w:rPr>
      </w:pPr>
      <w:r>
        <w:rPr>
          <w:rFonts w:hint="eastAsia" w:ascii="宋体" w:hAnsi="宋体" w:eastAsia="宋体" w:cs="宋体"/>
          <w:sz w:val="24"/>
        </w:rPr>
        <w:t>（五）非因乙方维护保养原因，因电梯使用、管理原因导致人身伤亡或设备损坏、丢失的，由甲方自行承担全部责任。</w:t>
      </w:r>
    </w:p>
    <w:p>
      <w:pPr>
        <w:ind w:firstLine="480" w:firstLineChars="200"/>
        <w:rPr>
          <w:rFonts w:ascii="宋体" w:hAnsi="宋体" w:eastAsia="宋体" w:cs="宋体"/>
          <w:sz w:val="24"/>
        </w:rPr>
      </w:pPr>
      <w:r>
        <w:rPr>
          <w:rFonts w:hint="eastAsia" w:ascii="宋体" w:hAnsi="宋体" w:eastAsia="宋体" w:cs="宋体"/>
          <w:sz w:val="24"/>
        </w:rPr>
        <w:t>（六）乙方的维护保养工作不符合合同约定的维护保养标准或要求的，乙方应当返工，并按照月费用15%标准支付每次违约金。</w:t>
      </w:r>
    </w:p>
    <w:p>
      <w:pPr>
        <w:ind w:firstLine="480" w:firstLineChars="200"/>
        <w:rPr>
          <w:rFonts w:ascii="宋体" w:hAnsi="宋体" w:eastAsia="宋体" w:cs="宋体"/>
          <w:sz w:val="24"/>
        </w:rPr>
      </w:pPr>
      <w:r>
        <w:rPr>
          <w:rFonts w:hint="eastAsia" w:ascii="宋体" w:hAnsi="宋体" w:eastAsia="宋体" w:cs="宋体"/>
          <w:sz w:val="24"/>
        </w:rPr>
        <w:t>（七）因维护保养原因导致人身伤亡或设备损坏、丢失的，由乙方承担全部责任。</w:t>
      </w:r>
    </w:p>
    <w:p>
      <w:pPr>
        <w:ind w:firstLine="480" w:firstLineChars="200"/>
        <w:rPr>
          <w:rFonts w:ascii="宋体" w:hAnsi="宋体" w:eastAsia="宋体" w:cs="宋体"/>
          <w:sz w:val="24"/>
        </w:rPr>
      </w:pPr>
      <w:r>
        <w:rPr>
          <w:rFonts w:hint="eastAsia" w:ascii="宋体" w:hAnsi="宋体" w:eastAsia="宋体" w:cs="宋体"/>
          <w:sz w:val="24"/>
        </w:rPr>
        <w:t>（八）因维护保养原因导致电梯检验检测不合格的，乙方还应当承担电梯复验费用。并按照月费用100%标准支付违约金。</w:t>
      </w:r>
    </w:p>
    <w:p>
      <w:pPr>
        <w:ind w:firstLine="480" w:firstLineChars="200"/>
        <w:rPr>
          <w:rFonts w:ascii="宋体" w:hAnsi="宋体" w:eastAsia="宋体" w:cs="宋体"/>
          <w:sz w:val="24"/>
        </w:rPr>
      </w:pPr>
      <w:r>
        <w:rPr>
          <w:rFonts w:hint="eastAsia" w:ascii="宋体" w:hAnsi="宋体" w:eastAsia="宋体" w:cs="宋体"/>
          <w:sz w:val="24"/>
        </w:rPr>
        <w:t>（九）根据本合同的电梯现状，甲乙双方约定非使用原因导致的电梯故障率每月每台电梯不得超过3次，超过3次甲方可拒付此台故障电梯本月保养费。</w:t>
      </w:r>
    </w:p>
    <w:p>
      <w:pPr>
        <w:ind w:firstLine="480" w:firstLineChars="200"/>
        <w:rPr>
          <w:rFonts w:ascii="宋体" w:hAnsi="宋体" w:eastAsia="宋体" w:cs="宋体"/>
          <w:sz w:val="24"/>
        </w:rPr>
      </w:pPr>
      <w:r>
        <w:rPr>
          <w:rFonts w:hint="eastAsia" w:ascii="宋体" w:hAnsi="宋体" w:eastAsia="宋体" w:cs="宋体"/>
          <w:sz w:val="24"/>
        </w:rPr>
        <w:t>（十）电梯故障的抢修恢复运行时间不得超过2小时，超过2小时甲方可拒付此台故障电梯本月保养费。</w:t>
      </w:r>
    </w:p>
    <w:p>
      <w:pPr>
        <w:ind w:firstLine="480" w:firstLineChars="200"/>
        <w:rPr>
          <w:rFonts w:ascii="宋体" w:hAnsi="宋体" w:eastAsia="宋体" w:cs="宋体"/>
          <w:sz w:val="24"/>
        </w:rPr>
      </w:pPr>
      <w:r>
        <w:rPr>
          <w:rFonts w:hint="eastAsia" w:ascii="宋体" w:hAnsi="宋体" w:eastAsia="宋体" w:cs="宋体"/>
          <w:sz w:val="24"/>
        </w:rPr>
        <w:t>(十一) 乙方违约责任涉及付款的，以电梯维保考核表作为结算依据。</w:t>
      </w:r>
    </w:p>
    <w:p>
      <w:pPr>
        <w:ind w:firstLine="480" w:firstLineChars="200"/>
        <w:rPr>
          <w:rFonts w:ascii="宋体" w:hAnsi="宋体" w:eastAsia="宋体" w:cs="宋体"/>
          <w:sz w:val="24"/>
        </w:rPr>
      </w:pPr>
      <w:r>
        <w:rPr>
          <w:rFonts w:hint="eastAsia" w:ascii="宋体" w:hAnsi="宋体" w:eastAsia="宋体" w:cs="宋体"/>
          <w:sz w:val="24"/>
        </w:rPr>
        <w:t>第十一条  合同的解除</w:t>
      </w:r>
    </w:p>
    <w:p>
      <w:pPr>
        <w:ind w:firstLine="480" w:firstLineChars="200"/>
        <w:rPr>
          <w:rFonts w:ascii="宋体" w:hAnsi="宋体" w:eastAsia="宋体" w:cs="宋体"/>
          <w:sz w:val="24"/>
        </w:rPr>
      </w:pPr>
      <w:r>
        <w:rPr>
          <w:rFonts w:hint="eastAsia" w:ascii="宋体" w:hAnsi="宋体" w:eastAsia="宋体" w:cs="宋体"/>
          <w:sz w:val="24"/>
        </w:rPr>
        <w:t>（一）甲乙双方协商一致，可以解除合同。</w:t>
      </w:r>
    </w:p>
    <w:p>
      <w:pPr>
        <w:ind w:firstLine="480" w:firstLineChars="200"/>
        <w:rPr>
          <w:rFonts w:ascii="宋体" w:hAnsi="宋体" w:eastAsia="宋体" w:cs="宋体"/>
          <w:sz w:val="24"/>
        </w:rPr>
      </w:pPr>
      <w:r>
        <w:rPr>
          <w:rFonts w:hint="eastAsia" w:ascii="宋体" w:hAnsi="宋体" w:eastAsia="宋体" w:cs="宋体"/>
          <w:sz w:val="24"/>
        </w:rPr>
        <w:t>（二）任何一方严重违约导致合同无法继续履行的，另一方可以解除合同。此外任何一方不得单方解除合同。</w:t>
      </w:r>
    </w:p>
    <w:p>
      <w:pPr>
        <w:ind w:firstLine="480" w:firstLineChars="200"/>
        <w:rPr>
          <w:rFonts w:ascii="宋体" w:hAnsi="宋体" w:eastAsia="宋体" w:cs="宋体"/>
          <w:sz w:val="24"/>
        </w:rPr>
      </w:pPr>
      <w:r>
        <w:rPr>
          <w:rFonts w:hint="eastAsia" w:ascii="宋体" w:hAnsi="宋体" w:eastAsia="宋体" w:cs="宋体"/>
          <w:sz w:val="24"/>
        </w:rPr>
        <w:t>第十二条  争端解决</w:t>
      </w:r>
    </w:p>
    <w:p>
      <w:pPr>
        <w:ind w:firstLine="480" w:firstLineChars="200"/>
        <w:rPr>
          <w:rFonts w:ascii="宋体" w:hAnsi="宋体" w:eastAsia="宋体" w:cs="宋体"/>
          <w:sz w:val="24"/>
        </w:rPr>
      </w:pPr>
      <w:r>
        <w:rPr>
          <w:rFonts w:hint="eastAsia" w:ascii="宋体" w:hAnsi="宋体" w:eastAsia="宋体" w:cs="宋体"/>
          <w:sz w:val="24"/>
        </w:rPr>
        <w:t>（一）合同实施或合同有关的一切争端应通过双方协商解决。如果协商开始后60日内还不能解决，提交甲方所在地人民法院诉讼解决。</w:t>
      </w:r>
    </w:p>
    <w:p>
      <w:pPr>
        <w:ind w:firstLine="480" w:firstLineChars="200"/>
        <w:rPr>
          <w:rFonts w:ascii="宋体" w:hAnsi="宋体" w:eastAsia="宋体" w:cs="宋体"/>
          <w:sz w:val="24"/>
        </w:rPr>
      </w:pPr>
      <w:r>
        <w:rPr>
          <w:rFonts w:hint="eastAsia" w:ascii="宋体" w:hAnsi="宋体" w:eastAsia="宋体" w:cs="宋体"/>
          <w:sz w:val="24"/>
        </w:rPr>
        <w:t xml:space="preserve">    （二）在诉讼期间，除正在进行诉讼的部分，本合同其他部分应继续执行。</w:t>
      </w:r>
    </w:p>
    <w:p>
      <w:pPr>
        <w:ind w:firstLine="480" w:firstLineChars="200"/>
        <w:rPr>
          <w:rFonts w:ascii="宋体" w:hAnsi="宋体" w:eastAsia="宋体" w:cs="宋体"/>
          <w:sz w:val="24"/>
        </w:rPr>
      </w:pPr>
      <w:r>
        <w:rPr>
          <w:rFonts w:hint="eastAsia" w:ascii="宋体" w:hAnsi="宋体" w:eastAsia="宋体" w:cs="宋体"/>
          <w:sz w:val="24"/>
        </w:rPr>
        <w:t>第十三条  其他约定</w:t>
      </w:r>
    </w:p>
    <w:p>
      <w:pPr>
        <w:ind w:firstLine="480" w:firstLineChars="200"/>
        <w:rPr>
          <w:rFonts w:ascii="宋体" w:hAnsi="宋体" w:eastAsia="宋体" w:cs="宋体"/>
          <w:sz w:val="24"/>
        </w:rPr>
      </w:pPr>
      <w:r>
        <w:rPr>
          <w:rFonts w:hint="eastAsia" w:ascii="宋体" w:hAnsi="宋体" w:eastAsia="宋体" w:cs="宋体"/>
          <w:sz w:val="24"/>
        </w:rPr>
        <w:t>（一）电梯保养作业时间：1、办公楼星期六、日；2、住宅楼星期一至五。</w:t>
      </w:r>
    </w:p>
    <w:p>
      <w:pPr>
        <w:ind w:firstLine="480" w:firstLineChars="200"/>
        <w:rPr>
          <w:rFonts w:ascii="宋体" w:hAnsi="宋体" w:eastAsia="宋体" w:cs="宋体"/>
          <w:sz w:val="24"/>
        </w:rPr>
      </w:pPr>
      <w:r>
        <w:rPr>
          <w:rFonts w:hint="eastAsia" w:ascii="宋体" w:hAnsi="宋体" w:eastAsia="宋体" w:cs="宋体"/>
          <w:sz w:val="24"/>
        </w:rPr>
        <w:t>（二）维护保养记录是记载电梯运行、维护、保养的依据。甲乙双方对每台电梯均应当建立独立的维护保养记录。维护保养记录应当一式两份，甲乙双方各保存一份，保存时间为4 年。普通维修、重大维修、改造协议与抢修记录均应当与维护保养记录一并保存。</w:t>
      </w:r>
    </w:p>
    <w:p>
      <w:pPr>
        <w:ind w:firstLine="480" w:firstLineChars="200"/>
        <w:rPr>
          <w:rFonts w:ascii="宋体" w:hAnsi="宋体" w:eastAsia="宋体" w:cs="宋体"/>
          <w:sz w:val="24"/>
        </w:rPr>
      </w:pPr>
      <w:r>
        <w:rPr>
          <w:rFonts w:hint="eastAsia" w:ascii="宋体" w:hAnsi="宋体" w:eastAsia="宋体" w:cs="宋体"/>
          <w:sz w:val="24"/>
        </w:rPr>
        <w:t>(三) 甲乙双方应当对每台电梯共同建立如下完整安全技术档案，并双方各保存一份。</w:t>
      </w:r>
    </w:p>
    <w:p>
      <w:pPr>
        <w:ind w:firstLine="480" w:firstLineChars="200"/>
        <w:rPr>
          <w:rFonts w:ascii="宋体" w:hAnsi="宋体" w:eastAsia="宋体" w:cs="宋体"/>
          <w:sz w:val="24"/>
        </w:rPr>
      </w:pPr>
      <w:r>
        <w:rPr>
          <w:rFonts w:hint="eastAsia" w:ascii="宋体" w:hAnsi="宋体" w:eastAsia="宋体" w:cs="宋体"/>
          <w:sz w:val="24"/>
        </w:rPr>
        <w:t>（1） 产品合格证；</w:t>
      </w:r>
    </w:p>
    <w:p>
      <w:pPr>
        <w:ind w:firstLine="480" w:firstLineChars="200"/>
        <w:rPr>
          <w:rFonts w:ascii="宋体" w:hAnsi="宋体" w:eastAsia="宋体" w:cs="宋体"/>
          <w:sz w:val="24"/>
        </w:rPr>
      </w:pPr>
      <w:r>
        <w:rPr>
          <w:rFonts w:hint="eastAsia" w:ascii="宋体" w:hAnsi="宋体" w:eastAsia="宋体" w:cs="宋体"/>
          <w:sz w:val="24"/>
        </w:rPr>
        <w:t>（2） 使用维护说明书；</w:t>
      </w:r>
    </w:p>
    <w:p>
      <w:pPr>
        <w:ind w:firstLine="480" w:firstLineChars="200"/>
        <w:rPr>
          <w:rFonts w:ascii="宋体" w:hAnsi="宋体" w:eastAsia="宋体" w:cs="宋体"/>
          <w:sz w:val="24"/>
        </w:rPr>
      </w:pPr>
      <w:r>
        <w:rPr>
          <w:rFonts w:hint="eastAsia" w:ascii="宋体" w:hAnsi="宋体" w:eastAsia="宋体" w:cs="宋体"/>
          <w:sz w:val="24"/>
        </w:rPr>
        <w:t>（3） 电气原理图；</w:t>
      </w:r>
    </w:p>
    <w:p>
      <w:pPr>
        <w:ind w:firstLine="480" w:firstLineChars="200"/>
        <w:rPr>
          <w:rFonts w:ascii="宋体" w:hAnsi="宋体" w:eastAsia="宋体" w:cs="宋体"/>
          <w:sz w:val="24"/>
        </w:rPr>
      </w:pPr>
      <w:r>
        <w:rPr>
          <w:rFonts w:hint="eastAsia" w:ascii="宋体" w:hAnsi="宋体" w:eastAsia="宋体" w:cs="宋体"/>
          <w:sz w:val="24"/>
        </w:rPr>
        <w:t>（4） 电气敷设图；</w:t>
      </w:r>
    </w:p>
    <w:p>
      <w:pPr>
        <w:ind w:firstLine="480" w:firstLineChars="200"/>
        <w:rPr>
          <w:rFonts w:ascii="宋体" w:hAnsi="宋体" w:eastAsia="宋体" w:cs="宋体"/>
          <w:sz w:val="24"/>
        </w:rPr>
      </w:pPr>
      <w:r>
        <w:rPr>
          <w:rFonts w:hint="eastAsia" w:ascii="宋体" w:hAnsi="宋体" w:eastAsia="宋体" w:cs="宋体"/>
          <w:sz w:val="24"/>
        </w:rPr>
        <w:t>（5） 安装说明书；</w:t>
      </w:r>
    </w:p>
    <w:p>
      <w:pPr>
        <w:ind w:firstLine="480" w:firstLineChars="200"/>
        <w:rPr>
          <w:rFonts w:ascii="宋体" w:hAnsi="宋体" w:eastAsia="宋体" w:cs="宋体"/>
          <w:sz w:val="24"/>
        </w:rPr>
      </w:pPr>
      <w:r>
        <w:rPr>
          <w:rFonts w:hint="eastAsia" w:ascii="宋体" w:hAnsi="宋体" w:eastAsia="宋体" w:cs="宋体"/>
          <w:sz w:val="24"/>
        </w:rPr>
        <w:t>（6） 电梯整机、安全部件和主要部件型式试验报告结论副本或结论；</w:t>
      </w:r>
    </w:p>
    <w:p>
      <w:pPr>
        <w:ind w:firstLine="480" w:firstLineChars="200"/>
        <w:rPr>
          <w:rFonts w:ascii="宋体" w:hAnsi="宋体" w:eastAsia="宋体" w:cs="宋体"/>
          <w:sz w:val="24"/>
        </w:rPr>
      </w:pPr>
      <w:r>
        <w:rPr>
          <w:rFonts w:hint="eastAsia" w:ascii="宋体" w:hAnsi="宋体" w:eastAsia="宋体" w:cs="宋体"/>
          <w:sz w:val="24"/>
        </w:rPr>
        <w:t>（7） 电梯运行全部记录；</w:t>
      </w:r>
    </w:p>
    <w:p>
      <w:pPr>
        <w:ind w:firstLine="480" w:firstLineChars="200"/>
        <w:rPr>
          <w:rFonts w:ascii="宋体" w:hAnsi="宋体" w:eastAsia="宋体" w:cs="宋体"/>
          <w:sz w:val="24"/>
        </w:rPr>
      </w:pPr>
      <w:r>
        <w:rPr>
          <w:rFonts w:hint="eastAsia" w:ascii="宋体" w:hAnsi="宋体" w:eastAsia="宋体" w:cs="宋体"/>
          <w:sz w:val="24"/>
        </w:rPr>
        <w:t>（8） 故障及事故记录；</w:t>
      </w:r>
    </w:p>
    <w:p>
      <w:pPr>
        <w:ind w:firstLine="480" w:firstLineChars="200"/>
        <w:rPr>
          <w:rFonts w:ascii="宋体" w:hAnsi="宋体" w:eastAsia="宋体" w:cs="宋体"/>
          <w:sz w:val="24"/>
        </w:rPr>
      </w:pPr>
      <w:r>
        <w:rPr>
          <w:rFonts w:hint="eastAsia" w:ascii="宋体" w:hAnsi="宋体" w:eastAsia="宋体" w:cs="宋体"/>
          <w:sz w:val="24"/>
        </w:rPr>
        <w:t>（9） 改造、重大维修原始记录；</w:t>
      </w:r>
    </w:p>
    <w:p>
      <w:pPr>
        <w:ind w:firstLine="480" w:firstLineChars="200"/>
        <w:rPr>
          <w:rFonts w:ascii="宋体" w:hAnsi="宋体" w:eastAsia="宋体" w:cs="宋体"/>
          <w:sz w:val="24"/>
        </w:rPr>
      </w:pPr>
      <w:r>
        <w:rPr>
          <w:rFonts w:hint="eastAsia" w:ascii="宋体" w:hAnsi="宋体" w:eastAsia="宋体" w:cs="宋体"/>
          <w:sz w:val="24"/>
        </w:rPr>
        <w:t>（10）深圳市特种设备登记卡；</w:t>
      </w:r>
    </w:p>
    <w:p>
      <w:pPr>
        <w:ind w:firstLine="480" w:firstLineChars="200"/>
        <w:rPr>
          <w:rFonts w:ascii="宋体" w:hAnsi="宋体" w:eastAsia="宋体" w:cs="宋体"/>
          <w:sz w:val="24"/>
        </w:rPr>
      </w:pPr>
      <w:r>
        <w:rPr>
          <w:rFonts w:hint="eastAsia" w:ascii="宋体" w:hAnsi="宋体" w:eastAsia="宋体" w:cs="宋体"/>
          <w:sz w:val="24"/>
        </w:rPr>
        <w:t>（11）电梯施工自检记录；</w:t>
      </w:r>
    </w:p>
    <w:p>
      <w:pPr>
        <w:ind w:firstLine="480" w:firstLineChars="200"/>
        <w:rPr>
          <w:rFonts w:ascii="宋体" w:hAnsi="宋体" w:eastAsia="宋体" w:cs="宋体"/>
          <w:sz w:val="24"/>
        </w:rPr>
      </w:pPr>
      <w:r>
        <w:rPr>
          <w:rFonts w:hint="eastAsia" w:ascii="宋体" w:hAnsi="宋体" w:eastAsia="宋体" w:cs="宋体"/>
          <w:sz w:val="24"/>
        </w:rPr>
        <w:t>（12）年度的检验报告；</w:t>
      </w:r>
    </w:p>
    <w:p>
      <w:pPr>
        <w:ind w:firstLine="480" w:firstLineChars="200"/>
        <w:rPr>
          <w:rFonts w:ascii="宋体" w:hAnsi="宋体" w:eastAsia="宋体" w:cs="宋体"/>
          <w:sz w:val="24"/>
        </w:rPr>
      </w:pPr>
      <w:r>
        <w:rPr>
          <w:rFonts w:hint="eastAsia" w:ascii="宋体" w:hAnsi="宋体" w:eastAsia="宋体" w:cs="宋体"/>
          <w:sz w:val="24"/>
        </w:rPr>
        <w:t>（四）甲乙双方应当制定电梯事故应急防范措施和救援预案并定期演练。</w:t>
      </w:r>
    </w:p>
    <w:p>
      <w:pPr>
        <w:ind w:firstLine="480" w:firstLineChars="200"/>
        <w:rPr>
          <w:rFonts w:ascii="宋体" w:hAnsi="宋体" w:eastAsia="宋体" w:cs="宋体"/>
          <w:sz w:val="24"/>
        </w:rPr>
      </w:pPr>
      <w:r>
        <w:rPr>
          <w:rFonts w:hint="eastAsia" w:ascii="宋体" w:hAnsi="宋体" w:eastAsia="宋体" w:cs="宋体"/>
          <w:sz w:val="24"/>
        </w:rPr>
        <w:t>（五）甲乙双方应根据风险转移需求，购买电梯设备、乘客、电梯管理员、维修保养人员的相关商业保险，甲方购买电梯第三者险。</w:t>
      </w:r>
    </w:p>
    <w:p>
      <w:pPr>
        <w:ind w:firstLine="480" w:firstLineChars="200"/>
        <w:rPr>
          <w:rFonts w:ascii="宋体" w:hAnsi="宋体" w:eastAsia="宋体" w:cs="宋体"/>
          <w:sz w:val="24"/>
        </w:rPr>
      </w:pPr>
      <w:r>
        <w:rPr>
          <w:rFonts w:hint="eastAsia" w:ascii="宋体" w:hAnsi="宋体" w:eastAsia="宋体" w:cs="宋体"/>
          <w:sz w:val="24"/>
        </w:rPr>
        <w:t>第十四条  合同期限</w:t>
      </w:r>
    </w:p>
    <w:p>
      <w:pPr>
        <w:ind w:firstLine="480" w:firstLineChars="200"/>
        <w:rPr>
          <w:rFonts w:ascii="宋体" w:hAnsi="宋体" w:eastAsia="宋体" w:cs="宋体"/>
          <w:sz w:val="24"/>
        </w:rPr>
      </w:pPr>
      <w:r>
        <w:rPr>
          <w:rFonts w:hint="eastAsia" w:ascii="宋体" w:hAnsi="宋体" w:eastAsia="宋体" w:cs="宋体"/>
          <w:sz w:val="24"/>
        </w:rPr>
        <w:t>年   月   日至   年   月    日。</w:t>
      </w:r>
    </w:p>
    <w:p>
      <w:pPr>
        <w:ind w:firstLine="480" w:firstLineChars="200"/>
        <w:rPr>
          <w:rFonts w:ascii="宋体" w:hAnsi="宋体" w:eastAsia="宋体" w:cs="宋体"/>
          <w:sz w:val="24"/>
        </w:rPr>
      </w:pPr>
      <w:r>
        <w:rPr>
          <w:rFonts w:hint="eastAsia" w:ascii="宋体" w:hAnsi="宋体" w:eastAsia="宋体" w:cs="宋体"/>
          <w:sz w:val="24"/>
        </w:rPr>
        <w:t>第十五条 附则</w:t>
      </w:r>
    </w:p>
    <w:p>
      <w:pPr>
        <w:ind w:firstLine="480" w:firstLineChars="200"/>
        <w:rPr>
          <w:rFonts w:ascii="宋体" w:hAnsi="宋体" w:eastAsia="宋体" w:cs="宋体"/>
          <w:sz w:val="24"/>
        </w:rPr>
      </w:pPr>
      <w:r>
        <w:rPr>
          <w:rFonts w:hint="eastAsia" w:ascii="宋体" w:hAnsi="宋体" w:eastAsia="宋体" w:cs="宋体"/>
          <w:sz w:val="24"/>
        </w:rPr>
        <w:t>本合同自甲乙双方签字盖章后生效。本合同生效后，双方对合同内容的变更或补充应当采取书面形式，并经双方签字确认，作为本合同的附件，附件与本合同具有同等的法律效力。</w:t>
      </w:r>
    </w:p>
    <w:p>
      <w:pPr>
        <w:ind w:firstLine="480" w:firstLineChars="200"/>
        <w:rPr>
          <w:rFonts w:ascii="宋体" w:hAnsi="宋体" w:eastAsia="宋体" w:cs="宋体"/>
          <w:sz w:val="24"/>
        </w:rPr>
      </w:pPr>
      <w:r>
        <w:rPr>
          <w:rFonts w:hint="eastAsia" w:ascii="宋体" w:hAnsi="宋体" w:eastAsia="宋体" w:cs="宋体"/>
          <w:sz w:val="24"/>
        </w:rPr>
        <w:t>本合同一式捌份，甲方执肆份，乙方执叁份，特种设备监督管理机构执壹份。</w:t>
      </w:r>
    </w:p>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甲方：（签章）                             乙方：（签章）</w:t>
      </w:r>
    </w:p>
    <w:p>
      <w:pPr>
        <w:ind w:firstLine="480" w:firstLineChars="200"/>
        <w:rPr>
          <w:rFonts w:ascii="宋体" w:hAnsi="宋体" w:eastAsia="宋体" w:cs="宋体"/>
          <w:sz w:val="24"/>
        </w:rPr>
      </w:pPr>
      <w:r>
        <w:rPr>
          <w:rFonts w:hint="eastAsia" w:ascii="宋体" w:hAnsi="宋体" w:eastAsia="宋体" w:cs="宋体"/>
          <w:sz w:val="24"/>
        </w:rPr>
        <w:t>法人代表（或授权代理人）：                 法人代表（或授权代理人）：</w:t>
      </w:r>
    </w:p>
    <w:p>
      <w:pPr>
        <w:ind w:firstLine="480" w:firstLineChars="200"/>
        <w:rPr>
          <w:rFonts w:ascii="宋体" w:hAnsi="宋体" w:eastAsia="宋体" w:cs="宋体"/>
          <w:sz w:val="24"/>
        </w:rPr>
      </w:pPr>
      <w:r>
        <w:rPr>
          <w:rFonts w:hint="eastAsia" w:ascii="宋体" w:hAnsi="宋体" w:eastAsia="宋体" w:cs="宋体"/>
          <w:sz w:val="24"/>
        </w:rPr>
        <w:t xml:space="preserve">联系电话：0755-83461913                   联系电话： </w:t>
      </w:r>
    </w:p>
    <w:p>
      <w:pPr>
        <w:ind w:firstLine="480" w:firstLineChars="200"/>
        <w:rPr>
          <w:rFonts w:ascii="宋体" w:hAnsi="宋体" w:eastAsia="宋体" w:cs="宋体"/>
          <w:sz w:val="24"/>
        </w:rPr>
      </w:pPr>
      <w:r>
        <w:rPr>
          <w:rFonts w:hint="eastAsia" w:ascii="宋体" w:hAnsi="宋体" w:eastAsia="宋体" w:cs="宋体"/>
          <w:sz w:val="24"/>
        </w:rPr>
        <w:t xml:space="preserve">地址：深圳市和平路2049号                 地址： </w:t>
      </w:r>
    </w:p>
    <w:p>
      <w:pPr>
        <w:ind w:firstLine="480" w:firstLineChars="200"/>
        <w:rPr>
          <w:rFonts w:ascii="宋体" w:hAnsi="宋体" w:eastAsia="宋体" w:cs="宋体"/>
          <w:sz w:val="24"/>
        </w:rPr>
      </w:pPr>
      <w:r>
        <w:rPr>
          <w:rFonts w:hint="eastAsia" w:ascii="宋体" w:hAnsi="宋体" w:eastAsia="宋体" w:cs="宋体"/>
          <w:sz w:val="24"/>
        </w:rPr>
        <w:t xml:space="preserve">年    月    日                            年    月    日   </w:t>
      </w:r>
    </w:p>
    <w:p>
      <w:pPr>
        <w:tabs>
          <w:tab w:val="center" w:pos="4153"/>
          <w:tab w:val="right" w:pos="8306"/>
        </w:tabs>
        <w:jc w:val="center"/>
        <w:rPr>
          <w:rFonts w:ascii="宋体" w:hAnsi="宋体" w:eastAsia="宋体" w:cs="宋体"/>
          <w:b/>
          <w:sz w:val="24"/>
        </w:rPr>
      </w:pPr>
      <w:r>
        <w:rPr>
          <w:rFonts w:hint="eastAsia" w:ascii="宋体" w:hAnsi="宋体" w:eastAsia="宋体" w:cs="宋体"/>
          <w:b/>
          <w:sz w:val="24"/>
        </w:rPr>
        <w:br w:type="page"/>
      </w:r>
      <w:r>
        <w:rPr>
          <w:rFonts w:hint="eastAsia" w:ascii="宋体" w:hAnsi="宋体" w:eastAsia="宋体" w:cs="宋体"/>
          <w:b/>
          <w:sz w:val="24"/>
          <w:u w:val="single"/>
        </w:rPr>
        <w:t xml:space="preserve">   </w:t>
      </w:r>
      <w:r>
        <w:rPr>
          <w:rFonts w:hint="eastAsia" w:ascii="宋体" w:hAnsi="宋体" w:eastAsia="宋体" w:cs="宋体"/>
          <w:b/>
          <w:sz w:val="24"/>
        </w:rPr>
        <w:t>月份合同履行情况考核评价表</w:t>
      </w:r>
    </w:p>
    <w:p>
      <w:pPr>
        <w:tabs>
          <w:tab w:val="center" w:pos="4153"/>
          <w:tab w:val="right" w:pos="8820"/>
        </w:tabs>
        <w:ind w:left="-540" w:leftChars="-257" w:right="-693" w:rightChars="-330" w:firstLine="360" w:firstLineChars="15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管理处                                       年      月 </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35" w:type="pct"/>
            <w:vAlign w:val="center"/>
          </w:tcPr>
          <w:p>
            <w:pPr>
              <w:jc w:val="center"/>
              <w:rPr>
                <w:rFonts w:ascii="宋体" w:hAnsi="宋体" w:eastAsia="宋体" w:cs="宋体"/>
                <w:sz w:val="24"/>
              </w:rPr>
            </w:pPr>
            <w:r>
              <w:rPr>
                <w:rFonts w:hint="eastAsia" w:ascii="宋体" w:hAnsi="宋体" w:eastAsia="宋体" w:cs="宋体"/>
                <w:sz w:val="24"/>
              </w:rPr>
              <w:t>合  同</w:t>
            </w:r>
          </w:p>
        </w:tc>
        <w:tc>
          <w:tcPr>
            <w:tcW w:w="3665" w:type="pct"/>
            <w:vAlign w:val="center"/>
          </w:tcPr>
          <w:p>
            <w:pPr>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pct"/>
            <w:vAlign w:val="center"/>
          </w:tcPr>
          <w:p>
            <w:pPr>
              <w:jc w:val="center"/>
              <w:rPr>
                <w:rFonts w:ascii="宋体" w:hAnsi="宋体" w:eastAsia="宋体" w:cs="宋体"/>
                <w:sz w:val="24"/>
              </w:rPr>
            </w:pPr>
            <w:r>
              <w:rPr>
                <w:rFonts w:hint="eastAsia" w:ascii="宋体" w:hAnsi="宋体" w:eastAsia="宋体" w:cs="宋体"/>
                <w:sz w:val="24"/>
              </w:rPr>
              <w:t>服务单位</w:t>
            </w:r>
          </w:p>
        </w:tc>
        <w:tc>
          <w:tcPr>
            <w:tcW w:w="3665" w:type="pct"/>
            <w:vAlign w:val="center"/>
          </w:tcPr>
          <w:p>
            <w:pPr>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管理处意见：</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主管部门意见：</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科室领导意见：</w:t>
            </w: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jc w:val="left"/>
              <w:rPr>
                <w:rFonts w:ascii="宋体" w:hAnsi="宋体" w:eastAsia="宋体" w:cs="宋体"/>
                <w:sz w:val="24"/>
              </w:rPr>
            </w:pPr>
          </w:p>
          <w:p>
            <w:pPr>
              <w:tabs>
                <w:tab w:val="center" w:pos="4153"/>
                <w:tab w:val="right" w:pos="8306"/>
              </w:tabs>
              <w:ind w:firstLine="3720" w:firstLineChars="1550"/>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pPr>
              <w:tabs>
                <w:tab w:val="center" w:pos="4153"/>
                <w:tab w:val="right" w:pos="8306"/>
              </w:tabs>
              <w:jc w:val="left"/>
              <w:rPr>
                <w:rFonts w:ascii="宋体" w:hAnsi="宋体" w:eastAsia="宋体" w:cs="宋体"/>
                <w:sz w:val="24"/>
              </w:rPr>
            </w:pPr>
            <w:r>
              <w:rPr>
                <w:rFonts w:hint="eastAsia" w:ascii="宋体" w:hAnsi="宋体" w:eastAsia="宋体" w:cs="宋体"/>
                <w:sz w:val="24"/>
              </w:rPr>
              <w:t>说明：管理处意见内容应包括：</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1、服务企业是否履行合同约定事项。</w:t>
            </w:r>
          </w:p>
          <w:p>
            <w:pPr>
              <w:tabs>
                <w:tab w:val="center" w:pos="4153"/>
                <w:tab w:val="right" w:pos="8306"/>
              </w:tabs>
              <w:jc w:val="left"/>
              <w:rPr>
                <w:rFonts w:ascii="宋体" w:hAnsi="宋体" w:eastAsia="宋体" w:cs="宋体"/>
                <w:sz w:val="24"/>
              </w:rPr>
            </w:pPr>
            <w:r>
              <w:rPr>
                <w:rFonts w:hint="eastAsia" w:ascii="宋体" w:hAnsi="宋体" w:eastAsia="宋体" w:cs="宋体"/>
                <w:sz w:val="24"/>
              </w:rPr>
              <w:t xml:space="preserve">      2、对本合同及服务项目的意见及建议。</w:t>
            </w:r>
          </w:p>
        </w:tc>
      </w:tr>
    </w:tbl>
    <w:p>
      <w:pPr>
        <w:adjustRightInd w:val="0"/>
        <w:snapToGrid w:val="0"/>
        <w:spacing w:before="240" w:after="60" w:line="312" w:lineRule="auto"/>
        <w:jc w:val="center"/>
        <w:outlineLvl w:val="1"/>
        <w:rPr>
          <w:rFonts w:ascii="Cambria" w:hAnsi="Cambria" w:eastAsia="宋体" w:cs="Times New Roman"/>
          <w:b/>
          <w:bCs/>
          <w:kern w:val="28"/>
          <w:sz w:val="28"/>
          <w:szCs w:val="32"/>
        </w:rPr>
      </w:pPr>
      <w:r>
        <w:rPr>
          <w:rFonts w:ascii="Cambria" w:hAnsi="Cambria" w:eastAsia="宋体" w:cs="Times New Roman"/>
          <w:b/>
          <w:bCs/>
          <w:kern w:val="28"/>
          <w:sz w:val="28"/>
          <w:szCs w:val="32"/>
        </w:rPr>
        <w:br w:type="page"/>
      </w:r>
      <w:bookmarkStart w:id="81" w:name="_Toc167352559"/>
      <w:r>
        <w:rPr>
          <w:rFonts w:hint="eastAsia" w:ascii="Cambria" w:hAnsi="Cambria" w:eastAsia="宋体" w:cs="Times New Roman"/>
          <w:b/>
          <w:bCs/>
          <w:kern w:val="28"/>
          <w:sz w:val="28"/>
          <w:szCs w:val="32"/>
        </w:rPr>
        <w:t>第五章 投标文件格式、附件</w:t>
      </w:r>
      <w:bookmarkEnd w:id="79"/>
      <w:bookmarkEnd w:id="80"/>
      <w:bookmarkEnd w:id="81"/>
    </w:p>
    <w:p>
      <w:pPr>
        <w:widowControl/>
        <w:shd w:val="clear" w:color="auto" w:fill="FFFFFF"/>
        <w:adjustRightInd w:val="0"/>
        <w:snapToGrid w:val="0"/>
        <w:spacing w:line="276" w:lineRule="auto"/>
        <w:ind w:firstLine="480"/>
        <w:rPr>
          <w:rFonts w:ascii="宋体" w:hAnsi="Times New Roman" w:eastAsia="宋体" w:cs="宋体"/>
          <w:kern w:val="0"/>
          <w:szCs w:val="24"/>
        </w:rPr>
      </w:pPr>
      <w:r>
        <w:rPr>
          <w:rFonts w:hint="eastAsia" w:ascii="宋体" w:hAnsi="Times New Roman" w:eastAsia="宋体" w:cs="宋体"/>
          <w:bCs/>
          <w:kern w:val="0"/>
          <w:sz w:val="24"/>
          <w:szCs w:val="24"/>
        </w:rPr>
        <w:t>特别提醒：</w:t>
      </w:r>
      <w:r>
        <w:rPr>
          <w:rFonts w:hint="eastAsia" w:ascii="宋体" w:hAnsi="Times New Roman" w:eastAsia="宋体" w:cs="宋体"/>
          <w:kern w:val="0"/>
          <w:szCs w:val="24"/>
        </w:rPr>
        <w:t>投标供应商在编辑投标文件时，应严格按照招标文件提供的格式进行编写，因未按要求编写导致投标文件不予受理、无效标或废标的，一切后果由供应商自行承担。</w:t>
      </w:r>
    </w:p>
    <w:p>
      <w:pPr>
        <w:widowControl/>
        <w:shd w:val="clear" w:color="auto" w:fill="FFFFFF"/>
        <w:adjustRightInd w:val="0"/>
        <w:snapToGrid w:val="0"/>
        <w:spacing w:line="276" w:lineRule="auto"/>
        <w:rPr>
          <w:rFonts w:ascii="宋体" w:hAnsi="Times New Roman" w:eastAsia="宋体" w:cs="宋体"/>
          <w:kern w:val="0"/>
          <w:szCs w:val="24"/>
        </w:rPr>
      </w:pPr>
    </w:p>
    <w:p>
      <w:pPr>
        <w:widowControl/>
        <w:shd w:val="clear" w:color="auto" w:fill="FFFFFF"/>
        <w:adjustRightInd w:val="0"/>
        <w:snapToGrid w:val="0"/>
        <w:spacing w:line="276" w:lineRule="auto"/>
        <w:rPr>
          <w:rFonts w:ascii="宋体" w:hAnsi="Times New Roman" w:eastAsia="宋体" w:cs="宋体"/>
          <w:kern w:val="0"/>
          <w:szCs w:val="24"/>
        </w:rPr>
      </w:pPr>
    </w:p>
    <w:p>
      <w:pPr>
        <w:widowControl/>
        <w:shd w:val="clear" w:color="auto" w:fill="FFFFFF"/>
        <w:adjustRightInd w:val="0"/>
        <w:snapToGrid w:val="0"/>
        <w:spacing w:line="276" w:lineRule="auto"/>
        <w:rPr>
          <w:rFonts w:ascii="宋体" w:hAnsi="Times New Roman" w:eastAsia="宋体" w:cs="宋体"/>
          <w:kern w:val="0"/>
          <w:szCs w:val="24"/>
        </w:rPr>
      </w:pPr>
      <w:r>
        <w:rPr>
          <w:rFonts w:hint="eastAsia" w:ascii="宋体" w:hAnsi="Times New Roman" w:eastAsia="宋体" w:cs="宋体"/>
          <w:kern w:val="0"/>
          <w:szCs w:val="24"/>
        </w:rPr>
        <w:t>投标文件组成：</w:t>
      </w:r>
    </w:p>
    <w:p>
      <w:pPr>
        <w:widowControl/>
        <w:shd w:val="clear" w:color="auto" w:fill="FFFFFF"/>
        <w:adjustRightInd w:val="0"/>
        <w:snapToGrid w:val="0"/>
        <w:spacing w:line="276" w:lineRule="auto"/>
        <w:rPr>
          <w:rFonts w:ascii="宋体" w:hAnsi="Times New Roman" w:eastAsia="宋体" w:cs="宋体"/>
          <w:kern w:val="0"/>
          <w:szCs w:val="24"/>
        </w:rPr>
      </w:pPr>
    </w:p>
    <w:p>
      <w:pPr>
        <w:widowControl/>
        <w:shd w:val="clear" w:color="auto" w:fill="FFFFFF"/>
        <w:adjustRightInd w:val="0"/>
        <w:snapToGrid w:val="0"/>
        <w:spacing w:line="276" w:lineRule="auto"/>
        <w:rPr>
          <w:rFonts w:ascii="宋体" w:hAnsi="Times New Roman" w:eastAsia="宋体" w:cs="宋体"/>
          <w:kern w:val="0"/>
          <w:szCs w:val="24"/>
        </w:rPr>
      </w:pPr>
      <w:r>
        <w:rPr>
          <w:rFonts w:hint="eastAsia" w:ascii="宋体" w:hAnsi="Times New Roman" w:eastAsia="宋体" w:cs="宋体"/>
          <w:kern w:val="0"/>
          <w:szCs w:val="24"/>
        </w:rPr>
        <w:t>密封袋封条格式</w:t>
      </w:r>
    </w:p>
    <w:p>
      <w:pPr>
        <w:widowControl/>
        <w:shd w:val="clear" w:color="auto" w:fill="FFFFFF"/>
        <w:adjustRightInd w:val="0"/>
        <w:snapToGrid w:val="0"/>
        <w:spacing w:line="276" w:lineRule="auto"/>
        <w:rPr>
          <w:rFonts w:ascii="宋体" w:hAnsi="Times New Roman" w:eastAsia="宋体" w:cs="宋体"/>
          <w:kern w:val="0"/>
          <w:szCs w:val="24"/>
        </w:rPr>
      </w:pPr>
      <w:r>
        <w:rPr>
          <w:rFonts w:hint="eastAsia" w:ascii="宋体" w:hAnsi="Times New Roman" w:eastAsia="宋体" w:cs="宋体"/>
          <w:kern w:val="0"/>
          <w:szCs w:val="24"/>
        </w:rPr>
        <w:t>投标文件封面格式</w:t>
      </w:r>
    </w:p>
    <w:p>
      <w:pPr>
        <w:widowControl/>
        <w:shd w:val="clear" w:color="auto" w:fill="FFFFFF"/>
        <w:adjustRightInd w:val="0"/>
        <w:snapToGrid w:val="0"/>
        <w:spacing w:line="276" w:lineRule="auto"/>
        <w:rPr>
          <w:rFonts w:ascii="宋体" w:hAnsi="Times New Roman" w:eastAsia="宋体" w:cs="宋体"/>
          <w:kern w:val="0"/>
          <w:szCs w:val="24"/>
        </w:rPr>
      </w:pPr>
      <w:r>
        <w:rPr>
          <w:rFonts w:hint="eastAsia" w:ascii="宋体" w:hAnsi="Times New Roman" w:eastAsia="宋体" w:cs="宋体"/>
          <w:kern w:val="0"/>
          <w:szCs w:val="24"/>
        </w:rPr>
        <w:t>目录（目录格式自定）</w:t>
      </w:r>
    </w:p>
    <w:p>
      <w:pPr>
        <w:widowControl/>
        <w:shd w:val="clear" w:color="auto" w:fill="FFFFFF"/>
        <w:adjustRightInd w:val="0"/>
        <w:snapToGrid w:val="0"/>
        <w:spacing w:line="276" w:lineRule="auto"/>
        <w:rPr>
          <w:rFonts w:ascii="宋体" w:hAnsi="Times New Roman" w:eastAsia="宋体" w:cs="宋体"/>
          <w:kern w:val="0"/>
          <w:szCs w:val="24"/>
        </w:rPr>
      </w:pPr>
      <w:r>
        <w:rPr>
          <w:rFonts w:hint="eastAsia" w:ascii="宋体" w:hAnsi="Times New Roman" w:eastAsia="宋体" w:cs="宋体"/>
          <w:kern w:val="0"/>
          <w:szCs w:val="24"/>
        </w:rPr>
        <w:t>评标指引表</w:t>
      </w:r>
    </w:p>
    <w:p>
      <w:pPr>
        <w:widowControl/>
        <w:shd w:val="clear" w:color="auto" w:fill="FFFFFF"/>
        <w:adjustRightInd w:val="0"/>
        <w:snapToGrid w:val="0"/>
        <w:spacing w:line="276" w:lineRule="auto"/>
        <w:ind w:left="420" w:firstLine="422"/>
        <w:rPr>
          <w:rFonts w:ascii="宋体" w:hAnsi="Times New Roman" w:eastAsia="宋体" w:cs="宋体"/>
          <w:b/>
          <w:kern w:val="0"/>
          <w:szCs w:val="24"/>
        </w:rPr>
      </w:pPr>
      <w:bookmarkStart w:id="82" w:name="_Hlk150703566"/>
      <w:r>
        <w:rPr>
          <w:rFonts w:hint="eastAsia" w:ascii="宋体" w:hAnsi="Times New Roman" w:eastAsia="宋体" w:cs="宋体"/>
          <w:b/>
          <w:kern w:val="0"/>
          <w:szCs w:val="24"/>
        </w:rPr>
        <w:t>价格</w:t>
      </w:r>
      <w:r>
        <w:rPr>
          <w:rFonts w:hint="eastAsia" w:ascii="宋体" w:hAnsi="Times New Roman" w:eastAsia="宋体" w:cs="宋体"/>
          <w:b/>
          <w:kern w:val="0"/>
          <w:szCs w:val="21"/>
        </w:rPr>
        <w:t>标</w:t>
      </w:r>
    </w:p>
    <w:p>
      <w:pPr>
        <w:widowControl/>
        <w:numPr>
          <w:ilvl w:val="1"/>
          <w:numId w:val="39"/>
        </w:numPr>
        <w:shd w:val="clear" w:color="auto" w:fill="FFFFFF"/>
        <w:tabs>
          <w:tab w:val="left" w:pos="426"/>
        </w:tabs>
        <w:adjustRightInd w:val="0"/>
        <w:snapToGrid w:val="0"/>
        <w:spacing w:line="276" w:lineRule="auto"/>
        <w:ind w:firstLine="420"/>
        <w:rPr>
          <w:rFonts w:ascii="宋体" w:hAnsi="Times New Roman" w:eastAsia="宋体" w:cs="宋体"/>
          <w:kern w:val="0"/>
          <w:szCs w:val="24"/>
        </w:rPr>
      </w:pPr>
      <w:r>
        <w:rPr>
          <w:rFonts w:hint="eastAsia" w:ascii="宋体" w:hAnsi="Times New Roman" w:eastAsia="宋体" w:cs="宋体"/>
          <w:kern w:val="0"/>
          <w:szCs w:val="24"/>
        </w:rPr>
        <w:t>开标一览表（报价表）</w:t>
      </w:r>
    </w:p>
    <w:p>
      <w:pPr>
        <w:widowControl/>
        <w:numPr>
          <w:ilvl w:val="1"/>
          <w:numId w:val="39"/>
        </w:numPr>
        <w:shd w:val="clear" w:color="auto" w:fill="FFFFFF"/>
        <w:tabs>
          <w:tab w:val="left" w:pos="426"/>
        </w:tabs>
        <w:adjustRightInd w:val="0"/>
        <w:snapToGrid w:val="0"/>
        <w:spacing w:line="276" w:lineRule="auto"/>
        <w:ind w:firstLine="420"/>
        <w:rPr>
          <w:rFonts w:ascii="宋体" w:hAnsi="Times New Roman" w:eastAsia="宋体" w:cs="宋体"/>
          <w:kern w:val="0"/>
          <w:szCs w:val="24"/>
        </w:rPr>
      </w:pPr>
      <w:r>
        <w:rPr>
          <w:rFonts w:hint="eastAsia" w:ascii="宋体" w:hAnsi="Times New Roman" w:eastAsia="宋体" w:cs="宋体"/>
          <w:kern w:val="0"/>
          <w:szCs w:val="24"/>
        </w:rPr>
        <w:t>投标分项报价表</w:t>
      </w:r>
    </w:p>
    <w:p>
      <w:pPr>
        <w:widowControl/>
        <w:shd w:val="clear" w:color="auto" w:fill="FFFFFF"/>
        <w:adjustRightInd w:val="0"/>
        <w:snapToGrid w:val="0"/>
        <w:spacing w:line="276" w:lineRule="auto"/>
        <w:ind w:left="420" w:firstLine="422"/>
        <w:rPr>
          <w:rFonts w:ascii="宋体" w:hAnsi="Times New Roman" w:eastAsia="宋体" w:cs="宋体"/>
          <w:b/>
          <w:kern w:val="0"/>
          <w:szCs w:val="21"/>
        </w:rPr>
      </w:pPr>
      <w:r>
        <w:rPr>
          <w:rFonts w:hint="eastAsia" w:ascii="宋体" w:hAnsi="Times New Roman" w:eastAsia="宋体" w:cs="宋体"/>
          <w:b/>
          <w:kern w:val="0"/>
          <w:szCs w:val="21"/>
        </w:rPr>
        <w:t>技术标</w:t>
      </w:r>
    </w:p>
    <w:p>
      <w:pPr>
        <w:widowControl/>
        <w:numPr>
          <w:ilvl w:val="1"/>
          <w:numId w:val="40"/>
        </w:numPr>
        <w:shd w:val="clear" w:color="auto" w:fill="FFFFFF"/>
        <w:tabs>
          <w:tab w:val="left" w:pos="426"/>
        </w:tabs>
        <w:adjustRightInd w:val="0"/>
        <w:snapToGrid w:val="0"/>
        <w:spacing w:line="276" w:lineRule="auto"/>
        <w:ind w:left="839" w:firstLine="420" w:firstLineChars="200"/>
        <w:rPr>
          <w:rFonts w:ascii="宋体" w:hAnsi="Times New Roman" w:eastAsia="宋体" w:cs="宋体"/>
          <w:kern w:val="0"/>
          <w:szCs w:val="24"/>
        </w:rPr>
      </w:pPr>
      <w:r>
        <w:rPr>
          <w:rFonts w:hint="eastAsia" w:ascii="宋体" w:hAnsi="Times New Roman" w:eastAsia="宋体" w:cs="宋体"/>
          <w:kern w:val="0"/>
          <w:szCs w:val="24"/>
        </w:rPr>
        <w:t>实施方案</w:t>
      </w:r>
    </w:p>
    <w:p>
      <w:pPr>
        <w:widowControl/>
        <w:numPr>
          <w:ilvl w:val="1"/>
          <w:numId w:val="40"/>
        </w:numPr>
        <w:shd w:val="clear" w:color="auto" w:fill="FFFFFF"/>
        <w:tabs>
          <w:tab w:val="left" w:pos="426"/>
        </w:tabs>
        <w:adjustRightInd w:val="0"/>
        <w:snapToGrid w:val="0"/>
        <w:spacing w:line="276" w:lineRule="auto"/>
        <w:ind w:left="839" w:firstLine="420" w:firstLineChars="200"/>
        <w:rPr>
          <w:rFonts w:ascii="宋体" w:hAnsi="Times New Roman" w:eastAsia="宋体" w:cs="宋体"/>
          <w:kern w:val="0"/>
          <w:szCs w:val="24"/>
        </w:rPr>
      </w:pPr>
      <w:r>
        <w:rPr>
          <w:rFonts w:hint="eastAsia" w:ascii="宋体" w:hAnsi="Times New Roman" w:eastAsia="宋体" w:cs="宋体"/>
          <w:kern w:val="0"/>
          <w:szCs w:val="24"/>
        </w:rPr>
        <w:t>项目重难点分析及解决方案</w:t>
      </w:r>
    </w:p>
    <w:p>
      <w:pPr>
        <w:widowControl/>
        <w:numPr>
          <w:ilvl w:val="1"/>
          <w:numId w:val="40"/>
        </w:numPr>
        <w:shd w:val="clear" w:color="auto" w:fill="FFFFFF"/>
        <w:tabs>
          <w:tab w:val="left" w:pos="426"/>
        </w:tabs>
        <w:adjustRightInd w:val="0"/>
        <w:snapToGrid w:val="0"/>
        <w:spacing w:line="276" w:lineRule="auto"/>
        <w:ind w:left="839" w:firstLine="420" w:firstLineChars="200"/>
        <w:rPr>
          <w:rFonts w:ascii="宋体" w:hAnsi="Times New Roman" w:eastAsia="宋体" w:cs="宋体"/>
          <w:kern w:val="0"/>
          <w:szCs w:val="24"/>
        </w:rPr>
      </w:pPr>
      <w:r>
        <w:rPr>
          <w:rFonts w:hint="eastAsia" w:ascii="宋体" w:hAnsi="Times New Roman" w:eastAsia="宋体" w:cs="宋体"/>
          <w:kern w:val="0"/>
          <w:szCs w:val="24"/>
        </w:rPr>
        <w:t>各种有针对性的应急处突方案</w:t>
      </w:r>
    </w:p>
    <w:p>
      <w:pPr>
        <w:widowControl/>
        <w:numPr>
          <w:ilvl w:val="1"/>
          <w:numId w:val="40"/>
        </w:numPr>
        <w:shd w:val="clear" w:color="auto" w:fill="FFFFFF"/>
        <w:tabs>
          <w:tab w:val="left" w:pos="426"/>
        </w:tabs>
        <w:adjustRightInd w:val="0"/>
        <w:snapToGrid w:val="0"/>
        <w:spacing w:line="276" w:lineRule="auto"/>
        <w:ind w:left="839" w:firstLine="420" w:firstLineChars="200"/>
        <w:rPr>
          <w:rFonts w:ascii="宋体" w:hAnsi="Times New Roman" w:eastAsia="宋体" w:cs="宋体"/>
          <w:kern w:val="0"/>
          <w:szCs w:val="24"/>
        </w:rPr>
      </w:pPr>
      <w:r>
        <w:rPr>
          <w:rFonts w:hint="eastAsia" w:ascii="宋体" w:hAnsi="Times New Roman" w:eastAsia="宋体" w:cs="宋体"/>
          <w:kern w:val="0"/>
          <w:szCs w:val="24"/>
        </w:rPr>
        <w:t>违约承诺</w:t>
      </w:r>
    </w:p>
    <w:p>
      <w:pPr>
        <w:widowControl/>
        <w:shd w:val="clear" w:color="auto" w:fill="FFFFFF"/>
        <w:adjustRightInd w:val="0"/>
        <w:snapToGrid w:val="0"/>
        <w:spacing w:line="276" w:lineRule="auto"/>
        <w:ind w:left="420" w:firstLine="422"/>
        <w:rPr>
          <w:rFonts w:ascii="宋体" w:hAnsi="Times New Roman" w:eastAsia="宋体" w:cs="宋体"/>
          <w:b/>
          <w:kern w:val="0"/>
          <w:szCs w:val="24"/>
        </w:rPr>
      </w:pPr>
      <w:r>
        <w:rPr>
          <w:rFonts w:hint="eastAsia" w:ascii="宋体" w:hAnsi="Times New Roman" w:eastAsia="宋体" w:cs="宋体"/>
          <w:b/>
          <w:kern w:val="0"/>
          <w:szCs w:val="24"/>
        </w:rPr>
        <w:t>商务</w:t>
      </w:r>
      <w:r>
        <w:rPr>
          <w:rFonts w:hint="eastAsia" w:ascii="宋体" w:hAnsi="Times New Roman" w:eastAsia="宋体" w:cs="宋体"/>
          <w:b/>
          <w:kern w:val="0"/>
          <w:szCs w:val="21"/>
        </w:rPr>
        <w:t>标</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4"/>
        </w:rPr>
      </w:pPr>
      <w:r>
        <w:rPr>
          <w:rFonts w:hint="eastAsia" w:ascii="宋体" w:hAnsi="Times New Roman" w:eastAsia="宋体" w:cs="宋体"/>
          <w:kern w:val="0"/>
          <w:szCs w:val="24"/>
        </w:rPr>
        <w:t>投标函</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4"/>
        </w:rPr>
      </w:pPr>
      <w:r>
        <w:rPr>
          <w:rFonts w:hint="eastAsia" w:ascii="宋体" w:hAnsi="Times New Roman" w:eastAsia="宋体" w:cs="宋体"/>
          <w:kern w:val="0"/>
          <w:szCs w:val="24"/>
        </w:rPr>
        <w:t>投标及履约承诺函</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4"/>
        </w:rPr>
      </w:pPr>
      <w:r>
        <w:rPr>
          <w:rFonts w:hint="eastAsia" w:ascii="宋体" w:hAnsi="Times New Roman" w:eastAsia="宋体" w:cs="宋体"/>
          <w:kern w:val="0"/>
          <w:szCs w:val="24"/>
        </w:rPr>
        <w:t>保密承诺书</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4"/>
        </w:rPr>
      </w:pPr>
      <w:r>
        <w:rPr>
          <w:rFonts w:hint="eastAsia" w:ascii="宋体" w:hAnsi="Times New Roman" w:eastAsia="宋体" w:cs="宋体"/>
          <w:kern w:val="0"/>
          <w:szCs w:val="24"/>
        </w:rPr>
        <w:t>廉政承诺书</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4"/>
        </w:rPr>
      </w:pPr>
      <w:r>
        <w:rPr>
          <w:rFonts w:hint="eastAsia" w:ascii="宋体" w:hAnsi="Times New Roman" w:eastAsia="宋体" w:cs="宋体"/>
          <w:kern w:val="0"/>
          <w:szCs w:val="24"/>
        </w:rPr>
        <w:t>法定代表人授权委托书、法定代表人证明书</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4"/>
        </w:rPr>
      </w:pPr>
      <w:r>
        <w:rPr>
          <w:rFonts w:hint="eastAsia" w:ascii="宋体" w:hAnsi="Times New Roman" w:eastAsia="宋体" w:cs="宋体"/>
          <w:kern w:val="0"/>
          <w:szCs w:val="24"/>
        </w:rPr>
        <w:t>投标供应商基本情况表</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实质性响应条款偏离表</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项目需求响应表（实质性条款除外、参与评分条款除外）</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投标人认证情况</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同类项目业绩</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履约评价</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拟派项目负责人（仅限一人）</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人员架构（项目负责人除外）</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备品备件方案</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应急救援</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宋体"/>
          <w:kern w:val="0"/>
          <w:szCs w:val="21"/>
        </w:rPr>
      </w:pPr>
      <w:r>
        <w:rPr>
          <w:rFonts w:hint="eastAsia" w:ascii="宋体" w:hAnsi="Times New Roman" w:eastAsia="宋体" w:cs="宋体"/>
          <w:kern w:val="0"/>
          <w:szCs w:val="21"/>
        </w:rPr>
        <w:t>售后服务</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Times New Roman"/>
          <w:szCs w:val="21"/>
        </w:rPr>
      </w:pPr>
      <w:r>
        <w:rPr>
          <w:rFonts w:hint="eastAsia" w:ascii="宋体" w:hAnsi="Times New Roman" w:eastAsia="宋体" w:cs="Times New Roman"/>
          <w:szCs w:val="21"/>
        </w:rPr>
        <w:t>招标代理服务费承诺书</w:t>
      </w:r>
    </w:p>
    <w:p>
      <w:pPr>
        <w:widowControl/>
        <w:numPr>
          <w:ilvl w:val="1"/>
          <w:numId w:val="41"/>
        </w:numPr>
        <w:shd w:val="clear" w:color="auto" w:fill="FFFFFF"/>
        <w:tabs>
          <w:tab w:val="left" w:pos="426"/>
        </w:tabs>
        <w:adjustRightInd w:val="0"/>
        <w:snapToGrid w:val="0"/>
        <w:spacing w:line="276" w:lineRule="auto"/>
        <w:ind w:firstLine="420"/>
        <w:rPr>
          <w:rFonts w:ascii="宋体" w:hAnsi="Times New Roman" w:eastAsia="宋体" w:cs="Times New Roman"/>
          <w:szCs w:val="21"/>
        </w:rPr>
      </w:pPr>
      <w:r>
        <w:rPr>
          <w:rFonts w:hint="eastAsia" w:ascii="宋体" w:hAnsi="Times New Roman" w:eastAsia="宋体" w:cs="Times New Roman"/>
          <w:szCs w:val="21"/>
        </w:rPr>
        <w:t>招标文件要求的其他内容及投标供应商认为需要加以说明的其他内容</w:t>
      </w:r>
    </w:p>
    <w:bookmarkEnd w:id="82"/>
    <w:p>
      <w:pPr>
        <w:widowControl/>
        <w:shd w:val="clear" w:color="auto" w:fill="FFFFFF"/>
        <w:tabs>
          <w:tab w:val="left" w:pos="426"/>
        </w:tabs>
        <w:spacing w:before="280" w:after="290" w:line="376" w:lineRule="auto"/>
        <w:jc w:val="center"/>
        <w:rPr>
          <w:rFonts w:ascii="宋体" w:hAnsi="Times New Roman" w:eastAsia="宋体" w:cs="宋体"/>
          <w:b/>
          <w:kern w:val="0"/>
          <w:sz w:val="24"/>
          <w:szCs w:val="24"/>
        </w:rPr>
      </w:pPr>
      <w:r>
        <w:rPr>
          <w:rFonts w:ascii="宋体" w:hAnsi="Times New Roman" w:eastAsia="宋体" w:cs="宋体"/>
          <w:kern w:val="0"/>
          <w:szCs w:val="24"/>
        </w:rPr>
        <w:br w:type="page"/>
      </w:r>
      <w:bookmarkStart w:id="83" w:name="_Toc518464366"/>
      <w:bookmarkStart w:id="84" w:name="_Toc528675178"/>
      <w:bookmarkStart w:id="85" w:name="_Toc528170806"/>
      <w:r>
        <w:rPr>
          <w:rFonts w:hint="eastAsia" w:ascii="宋体" w:hAnsi="Times New Roman" w:eastAsia="宋体" w:cs="宋体"/>
          <w:b/>
          <w:kern w:val="0"/>
          <w:sz w:val="24"/>
          <w:szCs w:val="24"/>
        </w:rPr>
        <w:t>密封袋封条格式</w:t>
      </w:r>
      <w:bookmarkEnd w:id="83"/>
      <w:bookmarkEnd w:id="84"/>
      <w:bookmarkEnd w:id="85"/>
    </w:p>
    <w:p>
      <w:pPr>
        <w:widowControl/>
        <w:shd w:val="clear" w:color="auto" w:fill="FFFFFF"/>
        <w:adjustRightInd w:val="0"/>
        <w:snapToGrid w:val="0"/>
        <w:spacing w:line="360" w:lineRule="auto"/>
        <w:jc w:val="center"/>
        <w:rPr>
          <w:rFonts w:ascii="宋体" w:hAnsi="Times New Roman" w:eastAsia="宋体" w:cs="宋体"/>
          <w:kern w:val="0"/>
          <w:sz w:val="44"/>
          <w:szCs w:val="44"/>
          <w:u w:val="single"/>
        </w:rPr>
      </w:pPr>
    </w:p>
    <w:p>
      <w:pPr>
        <w:widowControl/>
        <w:shd w:val="clear" w:color="auto" w:fill="FFFFFF"/>
        <w:adjustRightInd w:val="0"/>
        <w:snapToGrid w:val="0"/>
        <w:spacing w:line="360" w:lineRule="auto"/>
        <w:jc w:val="center"/>
        <w:rPr>
          <w:rFonts w:ascii="宋体" w:hAnsi="Times New Roman" w:eastAsia="宋体" w:cs="宋体"/>
          <w:kern w:val="0"/>
          <w:sz w:val="44"/>
          <w:szCs w:val="44"/>
        </w:rPr>
      </w:pPr>
      <w:r>
        <w:rPr>
          <w:rFonts w:hint="eastAsia" w:ascii="宋体" w:hAnsi="Times New Roman" w:eastAsia="宋体" w:cs="宋体"/>
          <w:kern w:val="0"/>
          <w:sz w:val="44"/>
          <w:szCs w:val="44"/>
          <w:u w:val="single"/>
        </w:rPr>
        <w:t>2025-2026年度电梯维保服务</w:t>
      </w:r>
    </w:p>
    <w:p>
      <w:pPr>
        <w:widowControl/>
        <w:shd w:val="clear" w:color="auto" w:fill="FFFFFF"/>
        <w:adjustRightInd w:val="0"/>
        <w:snapToGrid w:val="0"/>
        <w:spacing w:line="360" w:lineRule="auto"/>
        <w:jc w:val="center"/>
        <w:rPr>
          <w:rFonts w:ascii="宋体" w:hAnsi="Times New Roman" w:eastAsia="宋体" w:cs="宋体"/>
          <w:kern w:val="0"/>
          <w:szCs w:val="24"/>
        </w:rPr>
      </w:pPr>
    </w:p>
    <w:p>
      <w:pPr>
        <w:widowControl/>
        <w:shd w:val="clear" w:color="auto" w:fill="FFFFFF"/>
        <w:adjustRightInd w:val="0"/>
        <w:snapToGrid w:val="0"/>
        <w:spacing w:line="360" w:lineRule="auto"/>
        <w:jc w:val="center"/>
        <w:rPr>
          <w:rFonts w:ascii="宋体" w:hAnsi="Times New Roman" w:eastAsia="宋体" w:cs="宋体"/>
          <w:kern w:val="0"/>
          <w:szCs w:val="24"/>
        </w:rPr>
      </w:pPr>
    </w:p>
    <w:p>
      <w:pPr>
        <w:widowControl/>
        <w:shd w:val="clear" w:color="auto" w:fill="FFFFFF"/>
        <w:adjustRightInd w:val="0"/>
        <w:snapToGrid w:val="0"/>
        <w:spacing w:line="360" w:lineRule="auto"/>
        <w:jc w:val="center"/>
        <w:rPr>
          <w:rFonts w:ascii="宋体" w:hAnsi="Times New Roman" w:eastAsia="宋体" w:cs="宋体"/>
          <w:kern w:val="0"/>
          <w:sz w:val="52"/>
          <w:szCs w:val="52"/>
        </w:rPr>
      </w:pPr>
      <w:r>
        <w:rPr>
          <w:rFonts w:hint="eastAsia" w:ascii="宋体" w:hAnsi="Times New Roman" w:eastAsia="宋体" w:cs="宋体"/>
          <w:kern w:val="0"/>
          <w:sz w:val="52"/>
          <w:szCs w:val="52"/>
        </w:rPr>
        <w:t>□投标文件</w:t>
      </w:r>
    </w:p>
    <w:p>
      <w:pPr>
        <w:widowControl/>
        <w:shd w:val="clear" w:color="auto" w:fill="FFFFFF"/>
        <w:adjustRightInd w:val="0"/>
        <w:snapToGrid w:val="0"/>
        <w:spacing w:line="360" w:lineRule="auto"/>
        <w:jc w:val="center"/>
        <w:rPr>
          <w:rFonts w:ascii="宋体" w:hAnsi="Times New Roman" w:eastAsia="宋体" w:cs="宋体"/>
          <w:kern w:val="0"/>
          <w:sz w:val="52"/>
          <w:szCs w:val="52"/>
        </w:rPr>
      </w:pPr>
      <w:r>
        <w:rPr>
          <w:rFonts w:hint="eastAsia" w:ascii="宋体" w:hAnsi="Times New Roman" w:eastAsia="宋体" w:cs="宋体"/>
          <w:kern w:val="0"/>
          <w:sz w:val="52"/>
          <w:szCs w:val="52"/>
        </w:rPr>
        <w:t>□开标信封</w:t>
      </w: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ind w:left="708" w:leftChars="337" w:right="706" w:rightChars="336"/>
        <w:rPr>
          <w:rFonts w:ascii="宋体" w:hAnsi="Times New Roman" w:eastAsia="宋体" w:cs="宋体"/>
          <w:kern w:val="0"/>
          <w:sz w:val="28"/>
          <w:szCs w:val="28"/>
        </w:rPr>
      </w:pPr>
      <w:r>
        <w:rPr>
          <w:rFonts w:hint="eastAsia" w:ascii="宋体" w:hAnsi="Times New Roman" w:eastAsia="宋体" w:cs="宋体"/>
          <w:kern w:val="0"/>
          <w:sz w:val="28"/>
          <w:szCs w:val="28"/>
        </w:rPr>
        <w:t>项目编号：</w:t>
      </w:r>
    </w:p>
    <w:p>
      <w:pPr>
        <w:widowControl/>
        <w:shd w:val="clear" w:color="auto" w:fill="FFFFFF"/>
        <w:adjustRightInd w:val="0"/>
        <w:snapToGrid w:val="0"/>
        <w:spacing w:line="360" w:lineRule="auto"/>
        <w:ind w:left="708" w:leftChars="337"/>
        <w:rPr>
          <w:rFonts w:ascii="宋体" w:hAnsi="Times New Roman" w:eastAsia="宋体" w:cs="宋体"/>
          <w:kern w:val="0"/>
          <w:sz w:val="28"/>
          <w:szCs w:val="28"/>
        </w:rPr>
      </w:pPr>
      <w:r>
        <w:rPr>
          <w:rFonts w:hint="eastAsia" w:ascii="宋体" w:hAnsi="Times New Roman" w:eastAsia="宋体" w:cs="宋体"/>
          <w:kern w:val="0"/>
          <w:sz w:val="28"/>
          <w:szCs w:val="28"/>
        </w:rPr>
        <w:t>投标供应商名称（公章)：</w:t>
      </w:r>
    </w:p>
    <w:p>
      <w:pPr>
        <w:widowControl/>
        <w:shd w:val="clear" w:color="auto" w:fill="FFFFFF"/>
        <w:adjustRightInd w:val="0"/>
        <w:snapToGrid w:val="0"/>
        <w:spacing w:line="360" w:lineRule="auto"/>
        <w:ind w:left="708" w:leftChars="337"/>
        <w:rPr>
          <w:rFonts w:ascii="宋体" w:hAnsi="Times New Roman" w:eastAsia="宋体" w:cs="宋体"/>
          <w:kern w:val="0"/>
          <w:sz w:val="28"/>
          <w:szCs w:val="28"/>
        </w:rPr>
      </w:pPr>
      <w:r>
        <w:rPr>
          <w:rFonts w:hint="eastAsia" w:ascii="宋体" w:hAnsi="Times New Roman" w:eastAsia="宋体" w:cs="宋体"/>
          <w:kern w:val="0"/>
          <w:sz w:val="28"/>
          <w:szCs w:val="28"/>
        </w:rPr>
        <w:t>投标供应商代表（签名）：</w:t>
      </w:r>
    </w:p>
    <w:p>
      <w:pPr>
        <w:widowControl/>
        <w:shd w:val="clear" w:color="auto" w:fill="FFFFFF"/>
        <w:adjustRightInd w:val="0"/>
        <w:snapToGrid w:val="0"/>
        <w:spacing w:line="360" w:lineRule="auto"/>
        <w:ind w:left="708" w:leftChars="337"/>
        <w:rPr>
          <w:rFonts w:ascii="宋体" w:hAnsi="Times New Roman" w:eastAsia="宋体" w:cs="宋体"/>
          <w:kern w:val="0"/>
          <w:sz w:val="28"/>
          <w:szCs w:val="28"/>
        </w:rPr>
      </w:pPr>
      <w:r>
        <w:rPr>
          <w:rFonts w:hint="eastAsia" w:ascii="宋体" w:hAnsi="Times New Roman" w:eastAsia="宋体" w:cs="宋体"/>
          <w:kern w:val="0"/>
          <w:sz w:val="28"/>
          <w:szCs w:val="28"/>
        </w:rPr>
        <w:t>投标截止日期：_</w:t>
      </w:r>
      <w:r>
        <w:rPr>
          <w:rFonts w:ascii="宋体" w:hAnsi="Times New Roman" w:eastAsia="宋体" w:cs="宋体"/>
          <w:kern w:val="0"/>
          <w:sz w:val="28"/>
          <w:szCs w:val="28"/>
        </w:rPr>
        <w:t>___</w:t>
      </w:r>
      <w:r>
        <w:rPr>
          <w:rFonts w:hint="eastAsia" w:ascii="宋体" w:hAnsi="Times New Roman" w:eastAsia="宋体" w:cs="宋体"/>
          <w:kern w:val="0"/>
          <w:sz w:val="28"/>
          <w:szCs w:val="28"/>
        </w:rPr>
        <w:t>______年____月____日____时____分（</w:t>
      </w:r>
      <w:r>
        <w:rPr>
          <w:rFonts w:ascii="宋体" w:hAnsi="Times New Roman" w:eastAsia="宋体" w:cs="宋体"/>
          <w:kern w:val="0"/>
          <w:sz w:val="28"/>
          <w:szCs w:val="28"/>
        </w:rPr>
        <w:t>前不得开封</w:t>
      </w:r>
      <w:r>
        <w:rPr>
          <w:rFonts w:hint="eastAsia" w:ascii="宋体" w:hAnsi="Times New Roman" w:eastAsia="宋体" w:cs="宋体"/>
          <w:kern w:val="0"/>
          <w:sz w:val="28"/>
          <w:szCs w:val="28"/>
        </w:rPr>
        <w:t>）</w:t>
      </w:r>
    </w:p>
    <w:p>
      <w:pPr>
        <w:widowControl/>
        <w:shd w:val="clear" w:color="auto" w:fill="FFFFFF"/>
        <w:tabs>
          <w:tab w:val="left" w:pos="426"/>
        </w:tabs>
        <w:spacing w:before="280" w:after="290" w:line="376" w:lineRule="auto"/>
        <w:jc w:val="center"/>
        <w:rPr>
          <w:rFonts w:ascii="宋体" w:hAnsi="Times New Roman" w:eastAsia="宋体" w:cs="宋体"/>
          <w:b/>
          <w:kern w:val="0"/>
          <w:sz w:val="24"/>
          <w:szCs w:val="24"/>
        </w:rPr>
      </w:pPr>
      <w:r>
        <w:rPr>
          <w:rFonts w:ascii="宋体" w:hAnsi="Times New Roman" w:eastAsia="宋体" w:cs="宋体"/>
          <w:kern w:val="0"/>
          <w:szCs w:val="24"/>
        </w:rPr>
        <w:br w:type="page"/>
      </w:r>
      <w:bookmarkStart w:id="86" w:name="_Toc528170807"/>
      <w:bookmarkStart w:id="87" w:name="_Toc528675179"/>
      <w:bookmarkStart w:id="88" w:name="_Toc518464367"/>
      <w:r>
        <w:rPr>
          <w:rFonts w:hint="eastAsia" w:ascii="宋体" w:hAnsi="Times New Roman" w:eastAsia="宋体" w:cs="宋体"/>
          <w:b/>
          <w:kern w:val="0"/>
          <w:sz w:val="24"/>
          <w:szCs w:val="24"/>
        </w:rPr>
        <w:t>投标文件封面格式</w:t>
      </w:r>
      <w:bookmarkEnd w:id="86"/>
      <w:bookmarkEnd w:id="87"/>
      <w:bookmarkEnd w:id="88"/>
    </w:p>
    <w:p>
      <w:pPr>
        <w:widowControl/>
        <w:shd w:val="clear" w:color="auto" w:fill="FFFFFF"/>
        <w:adjustRightInd w:val="0"/>
        <w:snapToGrid w:val="0"/>
        <w:spacing w:line="360" w:lineRule="auto"/>
        <w:jc w:val="right"/>
        <w:rPr>
          <w:rFonts w:ascii="宋体" w:hAnsi="Times New Roman" w:eastAsia="宋体" w:cs="宋体"/>
          <w:kern w:val="0"/>
          <w:sz w:val="44"/>
          <w:szCs w:val="44"/>
          <w:u w:val="single"/>
        </w:rPr>
      </w:pPr>
      <w:r>
        <w:rPr>
          <w:rFonts w:hint="eastAsia" w:ascii="宋体" w:hAnsi="Times New Roman" w:eastAsia="宋体" w:cs="宋体"/>
          <w:kern w:val="0"/>
          <w:sz w:val="44"/>
          <w:szCs w:val="44"/>
          <w:u w:val="single"/>
        </w:rPr>
        <w:t>正/副本</w:t>
      </w:r>
    </w:p>
    <w:p>
      <w:pPr>
        <w:widowControl/>
        <w:shd w:val="clear" w:color="auto" w:fill="FFFFFF"/>
        <w:adjustRightInd w:val="0"/>
        <w:snapToGrid w:val="0"/>
        <w:spacing w:line="360" w:lineRule="auto"/>
        <w:jc w:val="center"/>
        <w:rPr>
          <w:rFonts w:ascii="宋体" w:hAnsi="Times New Roman" w:eastAsia="宋体" w:cs="宋体"/>
          <w:kern w:val="0"/>
          <w:sz w:val="44"/>
          <w:szCs w:val="44"/>
          <w:u w:val="single"/>
        </w:rPr>
      </w:pPr>
    </w:p>
    <w:p>
      <w:pPr>
        <w:widowControl/>
        <w:shd w:val="clear" w:color="auto" w:fill="FFFFFF"/>
        <w:adjustRightInd w:val="0"/>
        <w:snapToGrid w:val="0"/>
        <w:spacing w:line="360" w:lineRule="auto"/>
        <w:jc w:val="center"/>
        <w:rPr>
          <w:rFonts w:ascii="宋体" w:hAnsi="Times New Roman" w:eastAsia="宋体" w:cs="宋体"/>
          <w:kern w:val="0"/>
          <w:sz w:val="44"/>
          <w:szCs w:val="44"/>
        </w:rPr>
      </w:pPr>
      <w:r>
        <w:rPr>
          <w:rFonts w:hint="eastAsia" w:ascii="宋体" w:hAnsi="Times New Roman" w:eastAsia="宋体" w:cs="宋体"/>
          <w:kern w:val="0"/>
          <w:sz w:val="44"/>
          <w:szCs w:val="44"/>
          <w:u w:val="single"/>
        </w:rPr>
        <w:t>2025-2026年度电梯维保服务</w:t>
      </w:r>
    </w:p>
    <w:p>
      <w:pPr>
        <w:widowControl/>
        <w:shd w:val="clear" w:color="auto" w:fill="FFFFFF"/>
        <w:adjustRightInd w:val="0"/>
        <w:snapToGrid w:val="0"/>
        <w:spacing w:line="360" w:lineRule="auto"/>
        <w:jc w:val="center"/>
        <w:rPr>
          <w:rFonts w:ascii="宋体" w:hAnsi="Times New Roman" w:eastAsia="宋体" w:cs="宋体"/>
          <w:kern w:val="0"/>
          <w:szCs w:val="24"/>
        </w:rPr>
      </w:pPr>
    </w:p>
    <w:p>
      <w:pPr>
        <w:widowControl/>
        <w:shd w:val="clear" w:color="auto" w:fill="FFFFFF"/>
        <w:adjustRightInd w:val="0"/>
        <w:snapToGrid w:val="0"/>
        <w:spacing w:line="360" w:lineRule="auto"/>
        <w:jc w:val="center"/>
        <w:rPr>
          <w:rFonts w:ascii="宋体" w:hAnsi="Times New Roman" w:eastAsia="宋体" w:cs="宋体"/>
          <w:kern w:val="0"/>
          <w:szCs w:val="24"/>
        </w:rPr>
      </w:pPr>
    </w:p>
    <w:p>
      <w:pPr>
        <w:widowControl/>
        <w:shd w:val="clear" w:color="auto" w:fill="FFFFFF"/>
        <w:adjustRightInd w:val="0"/>
        <w:snapToGrid w:val="0"/>
        <w:spacing w:line="360" w:lineRule="auto"/>
        <w:jc w:val="center"/>
        <w:rPr>
          <w:rFonts w:ascii="宋体" w:hAnsi="Times New Roman" w:eastAsia="宋体" w:cs="宋体"/>
          <w:kern w:val="0"/>
          <w:sz w:val="52"/>
          <w:szCs w:val="52"/>
        </w:rPr>
      </w:pPr>
      <w:r>
        <w:rPr>
          <w:rFonts w:hint="eastAsia" w:ascii="宋体" w:hAnsi="Times New Roman" w:eastAsia="宋体" w:cs="宋体"/>
          <w:kern w:val="0"/>
          <w:sz w:val="52"/>
          <w:szCs w:val="52"/>
        </w:rPr>
        <w:t>投标文件</w:t>
      </w:r>
    </w:p>
    <w:p>
      <w:pPr>
        <w:widowControl/>
        <w:shd w:val="clear" w:color="auto" w:fill="FFFFFF"/>
        <w:adjustRightInd w:val="0"/>
        <w:snapToGrid w:val="0"/>
        <w:spacing w:line="360" w:lineRule="auto"/>
        <w:jc w:val="center"/>
        <w:rPr>
          <w:rFonts w:ascii="宋体" w:hAnsi="Times New Roman" w:eastAsia="宋体" w:cs="宋体"/>
          <w:kern w:val="0"/>
          <w:szCs w:val="24"/>
        </w:rPr>
      </w:pPr>
    </w:p>
    <w:p>
      <w:pPr>
        <w:widowControl/>
        <w:shd w:val="clear" w:color="auto" w:fill="FFFFFF"/>
        <w:adjustRightInd w:val="0"/>
        <w:snapToGrid w:val="0"/>
        <w:spacing w:line="360" w:lineRule="auto"/>
        <w:jc w:val="center"/>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ind w:left="1275" w:leftChars="607"/>
        <w:rPr>
          <w:rFonts w:ascii="宋体" w:hAnsi="Times New Roman" w:eastAsia="宋体" w:cs="宋体"/>
          <w:kern w:val="0"/>
          <w:sz w:val="28"/>
          <w:szCs w:val="28"/>
        </w:rPr>
      </w:pPr>
      <w:r>
        <w:rPr>
          <w:rFonts w:hint="eastAsia" w:ascii="宋体" w:hAnsi="Times New Roman" w:eastAsia="宋体" w:cs="宋体"/>
          <w:kern w:val="0"/>
          <w:sz w:val="28"/>
          <w:szCs w:val="28"/>
        </w:rPr>
        <w:t>项目编号：</w:t>
      </w:r>
    </w:p>
    <w:p>
      <w:pPr>
        <w:widowControl/>
        <w:shd w:val="clear" w:color="auto" w:fill="FFFFFF"/>
        <w:adjustRightInd w:val="0"/>
        <w:snapToGrid w:val="0"/>
        <w:spacing w:line="360" w:lineRule="auto"/>
        <w:ind w:left="1275" w:leftChars="607"/>
        <w:rPr>
          <w:rFonts w:ascii="宋体" w:hAnsi="Times New Roman" w:eastAsia="宋体" w:cs="宋体"/>
          <w:kern w:val="0"/>
          <w:sz w:val="28"/>
          <w:szCs w:val="28"/>
        </w:rPr>
      </w:pPr>
      <w:r>
        <w:rPr>
          <w:rFonts w:hint="eastAsia" w:ascii="宋体" w:hAnsi="Times New Roman" w:eastAsia="宋体" w:cs="宋体"/>
          <w:kern w:val="0"/>
          <w:sz w:val="28"/>
          <w:szCs w:val="28"/>
        </w:rPr>
        <w:t>投标供应商名称（公章)：</w:t>
      </w:r>
    </w:p>
    <w:p>
      <w:pPr>
        <w:widowControl/>
        <w:shd w:val="clear" w:color="auto" w:fill="FFFFFF"/>
        <w:adjustRightInd w:val="0"/>
        <w:snapToGrid w:val="0"/>
        <w:spacing w:line="360" w:lineRule="auto"/>
        <w:ind w:left="1275" w:leftChars="607"/>
        <w:rPr>
          <w:rFonts w:ascii="宋体" w:hAnsi="Times New Roman" w:eastAsia="宋体" w:cs="宋体"/>
          <w:kern w:val="0"/>
          <w:sz w:val="28"/>
          <w:szCs w:val="28"/>
        </w:rPr>
      </w:pPr>
      <w:r>
        <w:rPr>
          <w:rFonts w:hint="eastAsia" w:ascii="宋体" w:hAnsi="Times New Roman" w:eastAsia="宋体" w:cs="宋体"/>
          <w:kern w:val="0"/>
          <w:sz w:val="28"/>
          <w:szCs w:val="28"/>
        </w:rPr>
        <w:t>投标供应商代表（签名）：</w:t>
      </w:r>
    </w:p>
    <w:p>
      <w:pPr>
        <w:widowControl/>
        <w:shd w:val="clear" w:color="auto" w:fill="FFFFFF"/>
        <w:adjustRightInd w:val="0"/>
        <w:snapToGrid w:val="0"/>
        <w:spacing w:line="360" w:lineRule="auto"/>
        <w:ind w:left="1275" w:leftChars="607"/>
        <w:rPr>
          <w:rFonts w:ascii="宋体" w:hAnsi="Times New Roman" w:eastAsia="宋体" w:cs="宋体"/>
          <w:kern w:val="0"/>
          <w:sz w:val="28"/>
          <w:szCs w:val="28"/>
        </w:rPr>
      </w:pPr>
      <w:r>
        <w:rPr>
          <w:rFonts w:hint="eastAsia" w:ascii="宋体" w:hAnsi="Times New Roman" w:eastAsia="宋体" w:cs="宋体"/>
          <w:kern w:val="0"/>
          <w:sz w:val="28"/>
          <w:szCs w:val="28"/>
        </w:rPr>
        <w:t>投标日期：_</w:t>
      </w:r>
      <w:r>
        <w:rPr>
          <w:rFonts w:ascii="宋体" w:hAnsi="Times New Roman" w:eastAsia="宋体" w:cs="宋体"/>
          <w:kern w:val="0"/>
          <w:sz w:val="28"/>
          <w:szCs w:val="28"/>
        </w:rPr>
        <w:t>___</w:t>
      </w:r>
      <w:r>
        <w:rPr>
          <w:rFonts w:hint="eastAsia" w:ascii="宋体" w:hAnsi="Times New Roman" w:eastAsia="宋体" w:cs="宋体"/>
          <w:kern w:val="0"/>
          <w:sz w:val="28"/>
          <w:szCs w:val="28"/>
        </w:rPr>
        <w:t>______年____月____日</w:t>
      </w: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tabs>
          <w:tab w:val="left" w:pos="426"/>
        </w:tabs>
        <w:spacing w:before="280" w:after="290" w:line="376" w:lineRule="auto"/>
        <w:jc w:val="center"/>
        <w:rPr>
          <w:rFonts w:ascii="宋体" w:hAnsi="Times New Roman" w:eastAsia="宋体" w:cs="宋体"/>
          <w:b/>
          <w:kern w:val="0"/>
          <w:sz w:val="24"/>
          <w:szCs w:val="24"/>
        </w:rPr>
      </w:pPr>
      <w:r>
        <w:rPr>
          <w:rFonts w:ascii="宋体" w:hAnsi="Times New Roman" w:eastAsia="宋体" w:cs="宋体"/>
          <w:kern w:val="0"/>
          <w:szCs w:val="24"/>
        </w:rPr>
        <w:br w:type="page"/>
      </w:r>
      <w:bookmarkStart w:id="89" w:name="_Toc528170808"/>
      <w:bookmarkStart w:id="90" w:name="_Toc518464368"/>
      <w:bookmarkStart w:id="91" w:name="_Toc528675180"/>
      <w:r>
        <w:rPr>
          <w:rFonts w:hint="eastAsia" w:ascii="宋体" w:hAnsi="Times New Roman" w:eastAsia="宋体" w:cs="宋体"/>
          <w:b/>
          <w:kern w:val="0"/>
          <w:sz w:val="24"/>
          <w:szCs w:val="24"/>
        </w:rPr>
        <w:t>投标文件目录（目录格式自定）</w:t>
      </w:r>
      <w:bookmarkEnd w:id="89"/>
      <w:bookmarkEnd w:id="90"/>
      <w:bookmarkEnd w:id="91"/>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按照招标文件的要求编制投标文件相应内容，请标明各部分内容的页码。</w:t>
      </w: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adjustRightInd w:val="0"/>
        <w:snapToGrid w:val="0"/>
        <w:spacing w:line="360" w:lineRule="auto"/>
        <w:rPr>
          <w:rFonts w:ascii="宋体" w:hAnsi="Times New Roman" w:eastAsia="宋体" w:cs="宋体"/>
          <w:kern w:val="0"/>
          <w:szCs w:val="24"/>
        </w:rPr>
      </w:pPr>
    </w:p>
    <w:p>
      <w:pPr>
        <w:widowControl/>
        <w:shd w:val="clear" w:color="auto" w:fill="FFFFFF"/>
        <w:tabs>
          <w:tab w:val="left" w:pos="426"/>
        </w:tabs>
        <w:spacing w:before="280" w:after="290" w:line="376" w:lineRule="auto"/>
        <w:jc w:val="center"/>
        <w:rPr>
          <w:rFonts w:ascii="宋体" w:hAnsi="Times New Roman" w:eastAsia="宋体" w:cs="宋体"/>
          <w:b/>
          <w:kern w:val="0"/>
          <w:sz w:val="24"/>
          <w:szCs w:val="24"/>
        </w:rPr>
      </w:pPr>
      <w:r>
        <w:rPr>
          <w:rFonts w:ascii="宋体" w:hAnsi="Times New Roman" w:eastAsia="宋体" w:cs="宋体"/>
          <w:kern w:val="0"/>
          <w:szCs w:val="24"/>
        </w:rPr>
        <w:br w:type="page"/>
      </w:r>
      <w:bookmarkStart w:id="92" w:name="_Toc528675181"/>
      <w:bookmarkStart w:id="93" w:name="_Toc528170809"/>
      <w:bookmarkStart w:id="94" w:name="_Toc518464369"/>
      <w:r>
        <w:rPr>
          <w:rFonts w:hint="eastAsia" w:ascii="宋体" w:hAnsi="Times New Roman" w:eastAsia="宋体" w:cs="宋体"/>
          <w:b/>
          <w:kern w:val="0"/>
          <w:sz w:val="24"/>
          <w:szCs w:val="24"/>
        </w:rPr>
        <w:t>评标指引表</w:t>
      </w:r>
      <w:bookmarkEnd w:id="92"/>
      <w:bookmarkEnd w:id="93"/>
      <w:bookmarkEnd w:id="94"/>
    </w:p>
    <w:p>
      <w:pPr>
        <w:widowControl/>
        <w:shd w:val="clear" w:color="auto" w:fill="FFFFFF"/>
        <w:adjustRightInd w:val="0"/>
        <w:snapToGrid w:val="0"/>
        <w:spacing w:line="360" w:lineRule="auto"/>
        <w:jc w:val="center"/>
        <w:rPr>
          <w:rFonts w:ascii="宋体" w:hAnsi="Times New Roman" w:eastAsia="宋体" w:cs="宋体"/>
          <w:b/>
          <w:kern w:val="0"/>
          <w:szCs w:val="24"/>
        </w:rPr>
      </w:pPr>
      <w:r>
        <w:rPr>
          <w:rFonts w:hint="eastAsia" w:ascii="宋体" w:hAnsi="Times New Roman" w:eastAsia="宋体" w:cs="宋体"/>
          <w:b/>
          <w:kern w:val="0"/>
          <w:szCs w:val="24"/>
        </w:rPr>
        <w:t>（置于投标文件的首页）</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1"/>
        </w:rPr>
        <w:t>为方便参与该项目的评委专家的评标，快速找到评标事项与该项目投标文件所对应的位置，请投标供应商参照下表格式，编制本项目评标指引表。</w:t>
      </w:r>
    </w:p>
    <w:p>
      <w:pPr>
        <w:widowControl/>
        <w:shd w:val="clear" w:color="auto" w:fill="FFFFFF"/>
        <w:adjustRightInd w:val="0"/>
        <w:snapToGrid w:val="0"/>
        <w:spacing w:line="360" w:lineRule="auto"/>
        <w:rPr>
          <w:rFonts w:ascii="Times New Roman" w:hAnsi="Times New Roman" w:eastAsia="宋体" w:cs="Times New Roman"/>
          <w:szCs w:val="20"/>
        </w:rPr>
      </w:pPr>
      <w:r>
        <w:rPr>
          <w:rFonts w:hint="eastAsia" w:ascii="Times New Roman" w:hAnsi="Times New Roman" w:eastAsia="宋体" w:cs="Times New Roman"/>
          <w:szCs w:val="20"/>
        </w:rPr>
        <w:t>项目名称：</w:t>
      </w:r>
    </w:p>
    <w:p>
      <w:pPr>
        <w:widowControl/>
        <w:shd w:val="clear" w:color="auto" w:fill="FFFFFF"/>
        <w:adjustRightInd w:val="0"/>
        <w:snapToGrid w:val="0"/>
        <w:spacing w:line="360" w:lineRule="auto"/>
        <w:rPr>
          <w:rFonts w:ascii="Times New Roman" w:hAnsi="Times New Roman" w:eastAsia="宋体" w:cs="Times New Roman"/>
          <w:szCs w:val="20"/>
        </w:rPr>
      </w:pPr>
      <w:r>
        <w:rPr>
          <w:rFonts w:hint="eastAsia" w:ascii="Times New Roman" w:hAnsi="Times New Roman" w:eastAsia="宋体" w:cs="Times New Roman"/>
          <w:szCs w:val="20"/>
        </w:rPr>
        <w:t>项目编号：</w:t>
      </w:r>
    </w:p>
    <w:p>
      <w:pPr>
        <w:widowControl/>
        <w:shd w:val="clear" w:color="auto" w:fill="FFFFFF"/>
        <w:adjustRightInd w:val="0"/>
        <w:snapToGrid w:val="0"/>
        <w:spacing w:line="360" w:lineRule="auto"/>
        <w:jc w:val="center"/>
        <w:rPr>
          <w:rFonts w:ascii="宋体" w:hAnsi="Times New Roman" w:eastAsia="宋体" w:cs="宋体"/>
          <w:b/>
          <w:kern w:val="0"/>
          <w:szCs w:val="24"/>
        </w:rPr>
      </w:pPr>
      <w:r>
        <w:rPr>
          <w:rFonts w:hint="eastAsia" w:ascii="宋体" w:hAnsi="Times New Roman" w:eastAsia="宋体" w:cs="宋体"/>
          <w:b/>
          <w:kern w:val="0"/>
          <w:szCs w:val="24"/>
        </w:rPr>
        <w:t>项目评标指引表</w:t>
      </w:r>
    </w:p>
    <w:tbl>
      <w:tblPr>
        <w:tblStyle w:val="8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b/>
                <w:kern w:val="0"/>
                <w:szCs w:val="24"/>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b/>
                <w:kern w:val="0"/>
                <w:szCs w:val="24"/>
              </w:rPr>
              <w:t>序号</w:t>
            </w:r>
          </w:p>
        </w:tc>
        <w:tc>
          <w:tcPr>
            <w:tcW w:w="4203" w:type="dxa"/>
            <w:gridSpan w:val="2"/>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资格性检查项目</w:t>
            </w:r>
          </w:p>
        </w:tc>
        <w:tc>
          <w:tcPr>
            <w:tcW w:w="3105" w:type="dxa"/>
            <w:gridSpan w:val="3"/>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b/>
                <w:kern w:val="0"/>
                <w:szCs w:val="24"/>
              </w:rPr>
              <w:t>证明文件</w:t>
            </w:r>
          </w:p>
        </w:tc>
        <w:tc>
          <w:tcPr>
            <w:tcW w:w="1397" w:type="dxa"/>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b/>
                <w:kern w:val="0"/>
                <w:szCs w:val="24"/>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b/>
                <w:kern w:val="0"/>
                <w:szCs w:val="24"/>
              </w:rPr>
              <w:t>1</w:t>
            </w:r>
          </w:p>
        </w:tc>
        <w:tc>
          <w:tcPr>
            <w:tcW w:w="4203" w:type="dxa"/>
            <w:gridSpan w:val="2"/>
            <w:vMerge w:val="restart"/>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kern w:val="0"/>
                <w:szCs w:val="24"/>
              </w:rPr>
              <w:t>投标供应商资质要求</w:t>
            </w:r>
          </w:p>
        </w:tc>
        <w:tc>
          <w:tcPr>
            <w:tcW w:w="3105" w:type="dxa"/>
            <w:gridSpan w:val="3"/>
            <w:vAlign w:val="center"/>
          </w:tcPr>
          <w:p>
            <w:pPr>
              <w:widowControl/>
              <w:shd w:val="clear" w:color="auto" w:fill="FFFFFF"/>
              <w:jc w:val="center"/>
              <w:rPr>
                <w:rFonts w:ascii="宋体" w:hAnsi="Times New Roman" w:eastAsia="宋体" w:cs="宋体"/>
                <w:szCs w:val="24"/>
              </w:rPr>
            </w:pPr>
            <w:r>
              <w:rPr>
                <w:rFonts w:hint="eastAsia" w:ascii="宋体" w:hAnsi="Times New Roman" w:eastAsia="宋体" w:cs="宋体"/>
                <w:kern w:val="0"/>
                <w:szCs w:val="24"/>
              </w:rPr>
              <w:t>营业执照</w:t>
            </w: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4203" w:type="dxa"/>
            <w:gridSpan w:val="2"/>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3105" w:type="dxa"/>
            <w:gridSpan w:val="3"/>
            <w:vAlign w:val="center"/>
          </w:tcPr>
          <w:p>
            <w:pPr>
              <w:widowControl/>
              <w:shd w:val="clear" w:color="auto" w:fill="FFFFFF"/>
              <w:jc w:val="center"/>
              <w:rPr>
                <w:rFonts w:ascii="宋体" w:hAnsi="Times New Roman" w:eastAsia="宋体" w:cs="宋体"/>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4203" w:type="dxa"/>
            <w:gridSpan w:val="2"/>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3105" w:type="dxa"/>
            <w:gridSpan w:val="3"/>
            <w:vAlign w:val="center"/>
          </w:tcPr>
          <w:p>
            <w:pPr>
              <w:widowControl/>
              <w:shd w:val="clear" w:color="auto" w:fill="FFFFFF"/>
              <w:jc w:val="center"/>
              <w:rPr>
                <w:rFonts w:ascii="宋体" w:hAnsi="Times New Roman" w:eastAsia="宋体" w:cs="宋体"/>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4203" w:type="dxa"/>
            <w:gridSpan w:val="2"/>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3105" w:type="dxa"/>
            <w:gridSpan w:val="3"/>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4203" w:type="dxa"/>
            <w:gridSpan w:val="2"/>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3105" w:type="dxa"/>
            <w:gridSpan w:val="3"/>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4203" w:type="dxa"/>
            <w:gridSpan w:val="2"/>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3105" w:type="dxa"/>
            <w:gridSpan w:val="3"/>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序号</w:t>
            </w:r>
          </w:p>
        </w:tc>
        <w:tc>
          <w:tcPr>
            <w:tcW w:w="5943" w:type="dxa"/>
            <w:gridSpan w:val="4"/>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符合性审查项目</w:t>
            </w:r>
          </w:p>
        </w:tc>
        <w:tc>
          <w:tcPr>
            <w:tcW w:w="2762" w:type="dxa"/>
            <w:gridSpan w:val="2"/>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1</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未出现将一个包或一个标段的内容拆开投标；</w:t>
            </w:r>
          </w:p>
        </w:tc>
        <w:tc>
          <w:tcPr>
            <w:tcW w:w="2762" w:type="dxa"/>
            <w:gridSpan w:val="2"/>
            <w:vAlign w:val="center"/>
          </w:tcPr>
          <w:p>
            <w:pPr>
              <w:widowControl/>
              <w:shd w:val="clear" w:color="auto" w:fill="FFFFFF"/>
              <w:jc w:val="center"/>
              <w:rPr>
                <w:rFonts w:ascii="宋体" w:hAnsi="Times New Roman" w:eastAsia="宋体" w:cs="宋体"/>
                <w:szCs w:val="24"/>
              </w:rPr>
            </w:pPr>
            <w:r>
              <w:rPr>
                <w:rFonts w:hint="eastAsia" w:ascii="宋体" w:hAnsi="Times New Roman" w:eastAsia="宋体" w:cs="宋体"/>
                <w:kern w:val="0"/>
                <w:szCs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2</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投标文件及开标一览表按规定密封、签字、盖章</w:t>
            </w:r>
          </w:p>
        </w:tc>
        <w:tc>
          <w:tcPr>
            <w:tcW w:w="2762" w:type="dxa"/>
            <w:gridSpan w:val="2"/>
            <w:vAlign w:val="center"/>
          </w:tcPr>
          <w:p>
            <w:pPr>
              <w:widowControl/>
              <w:shd w:val="clear" w:color="auto" w:fill="FFFFFF"/>
              <w:jc w:val="center"/>
              <w:rPr>
                <w:rFonts w:ascii="宋体" w:hAnsi="Times New Roman"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3</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除招标文件规定允许有替代方案外，对同一项目投标时，未提供两套或两套以上的投标方案；</w:t>
            </w:r>
          </w:p>
        </w:tc>
        <w:tc>
          <w:tcPr>
            <w:tcW w:w="2762" w:type="dxa"/>
            <w:gridSpan w:val="2"/>
            <w:vAlign w:val="center"/>
          </w:tcPr>
          <w:p>
            <w:pPr>
              <w:widowControl/>
              <w:shd w:val="clear" w:color="auto" w:fill="FFFFFF"/>
              <w:jc w:val="center"/>
              <w:rPr>
                <w:rFonts w:ascii="宋体" w:hAnsi="Times New Roman"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4</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按招标文件所提供的样式填写</w:t>
            </w:r>
            <w:r>
              <w:rPr>
                <w:rFonts w:ascii="宋体" w:hAnsi="Times New Roman" w:eastAsia="宋体" w:cs="宋体"/>
                <w:kern w:val="0"/>
                <w:szCs w:val="24"/>
              </w:rPr>
              <w:t>《</w:t>
            </w:r>
            <w:r>
              <w:rPr>
                <w:rFonts w:hint="eastAsia" w:ascii="宋体" w:hAnsi="Times New Roman" w:eastAsia="宋体" w:cs="宋体"/>
                <w:kern w:val="0"/>
                <w:szCs w:val="24"/>
              </w:rPr>
              <w:t>投标函》；按招标文件所提供的《投标及履约承诺函》进行承诺；按招标文件所提供的《保密承诺书》、</w:t>
            </w:r>
            <w:r>
              <w:rPr>
                <w:rFonts w:ascii="宋体" w:hAnsi="Times New Roman" w:eastAsia="宋体" w:cs="宋体"/>
                <w:kern w:val="0"/>
                <w:szCs w:val="24"/>
              </w:rPr>
              <w:t>《</w:t>
            </w:r>
            <w:r>
              <w:rPr>
                <w:rFonts w:hint="eastAsia" w:ascii="宋体" w:hAnsi="Times New Roman" w:eastAsia="宋体" w:cs="宋体"/>
                <w:kern w:val="0"/>
                <w:szCs w:val="24"/>
              </w:rPr>
              <w:t>廉政承诺书》进行承诺；</w:t>
            </w:r>
          </w:p>
        </w:tc>
        <w:tc>
          <w:tcPr>
            <w:tcW w:w="2762" w:type="dxa"/>
            <w:gridSpan w:val="2"/>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5</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按照招标文件规定要求签署、盖章；投标文件有法定代表人签字、投标文件签字人有法定代表人有效授权书的；</w:t>
            </w:r>
          </w:p>
        </w:tc>
        <w:tc>
          <w:tcPr>
            <w:tcW w:w="2762" w:type="dxa"/>
            <w:gridSpan w:val="2"/>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6</w:t>
            </w:r>
          </w:p>
        </w:tc>
        <w:tc>
          <w:tcPr>
            <w:tcW w:w="5943" w:type="dxa"/>
            <w:gridSpan w:val="4"/>
            <w:vAlign w:val="center"/>
          </w:tcPr>
          <w:p>
            <w:pPr>
              <w:widowControl/>
              <w:shd w:val="clear" w:color="auto" w:fill="FFFFFF"/>
              <w:rPr>
                <w:rFonts w:ascii="宋体" w:hAnsi="Times New Roman" w:eastAsia="宋体" w:cs="宋体"/>
                <w:b/>
                <w:bCs/>
                <w:kern w:val="0"/>
                <w:szCs w:val="24"/>
              </w:rPr>
            </w:pPr>
            <w:r>
              <w:rPr>
                <w:rFonts w:hint="eastAsia" w:ascii="宋体" w:hAnsi="Times New Roman" w:eastAsia="宋体" w:cs="宋体"/>
                <w:kern w:val="0"/>
                <w:szCs w:val="24"/>
              </w:rPr>
              <w:t>投标总价或分项报价未高于财政预算限额</w:t>
            </w:r>
            <w:r>
              <w:rPr>
                <w:rFonts w:ascii="宋体" w:hAnsi="Times New Roman" w:eastAsia="宋体" w:cs="宋体"/>
                <w:kern w:val="0"/>
                <w:szCs w:val="21"/>
              </w:rPr>
              <w:t>（最高投标限价）</w:t>
            </w:r>
            <w:r>
              <w:rPr>
                <w:rFonts w:hint="eastAsia" w:ascii="宋体" w:hAnsi="Times New Roman" w:eastAsia="宋体" w:cs="宋体"/>
                <w:kern w:val="0"/>
                <w:szCs w:val="24"/>
              </w:rPr>
              <w:t>；</w:t>
            </w:r>
          </w:p>
        </w:tc>
        <w:tc>
          <w:tcPr>
            <w:tcW w:w="2762" w:type="dxa"/>
            <w:gridSpan w:val="2"/>
            <w:vAlign w:val="center"/>
          </w:tcPr>
          <w:p>
            <w:pPr>
              <w:widowControl/>
              <w:shd w:val="clear" w:color="auto" w:fill="FFFFFF"/>
              <w:jc w:val="center"/>
              <w:rPr>
                <w:rFonts w:ascii="宋体" w:hAnsi="Times New Roman"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7</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不存在以下情形：</w:t>
            </w:r>
            <w:r>
              <w:rPr>
                <w:rFonts w:ascii="宋体" w:hAnsi="Times New Roman" w:eastAsia="宋体" w:cs="宋体"/>
                <w:kern w:val="0"/>
                <w:szCs w:val="21"/>
              </w:rPr>
              <w:t>同一项目出现两个及以上报价，且按规定无法确定哪个是有效报价；</w:t>
            </w:r>
          </w:p>
        </w:tc>
        <w:tc>
          <w:tcPr>
            <w:tcW w:w="2762" w:type="dxa"/>
            <w:gridSpan w:val="2"/>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8</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9</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widowControl/>
              <w:shd w:val="clear" w:color="auto" w:fill="FFFFFF"/>
              <w:jc w:val="center"/>
              <w:rPr>
                <w:rFonts w:ascii="宋体" w:hAnsi="Times New Roman"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10</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投标报价没有严重缺漏项目；投标报价没有对招标文件规定的服务清单项目及数量进行修改或采购标的响应不全；</w:t>
            </w:r>
          </w:p>
        </w:tc>
        <w:tc>
          <w:tcPr>
            <w:tcW w:w="2762" w:type="dxa"/>
            <w:gridSpan w:val="2"/>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11</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投标文件不存在招标文件中规定的其它无效投标条款的；</w:t>
            </w:r>
          </w:p>
        </w:tc>
        <w:tc>
          <w:tcPr>
            <w:tcW w:w="2762" w:type="dxa"/>
            <w:gridSpan w:val="2"/>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jc w:val="center"/>
              <w:rPr>
                <w:rFonts w:ascii="宋体" w:hAnsi="Times New Roman" w:eastAsia="宋体" w:cs="宋体"/>
                <w:szCs w:val="24"/>
              </w:rPr>
            </w:pPr>
            <w:r>
              <w:rPr>
                <w:rFonts w:hint="eastAsia" w:ascii="宋体" w:hAnsi="Times New Roman" w:eastAsia="宋体" w:cs="宋体"/>
                <w:kern w:val="0"/>
                <w:szCs w:val="24"/>
              </w:rPr>
              <w:t>12</w:t>
            </w:r>
          </w:p>
        </w:tc>
        <w:tc>
          <w:tcPr>
            <w:tcW w:w="5943" w:type="dxa"/>
            <w:gridSpan w:val="4"/>
            <w:vAlign w:val="center"/>
          </w:tcPr>
          <w:p>
            <w:pPr>
              <w:widowControl/>
              <w:shd w:val="clear" w:color="auto" w:fill="FFFFFF"/>
              <w:rPr>
                <w:rFonts w:ascii="宋体" w:hAnsi="Times New Roman" w:eastAsia="宋体" w:cs="宋体"/>
                <w:kern w:val="0"/>
                <w:szCs w:val="24"/>
              </w:rPr>
            </w:pPr>
            <w:r>
              <w:rPr>
                <w:rFonts w:hint="eastAsia" w:ascii="宋体" w:hAnsi="Times New Roman" w:eastAsia="宋体" w:cs="宋体"/>
                <w:kern w:val="0"/>
                <w:szCs w:val="24"/>
              </w:rPr>
              <w:t>不属于法律、法规规定的投标无效的其他情形。</w:t>
            </w:r>
          </w:p>
        </w:tc>
        <w:tc>
          <w:tcPr>
            <w:tcW w:w="2762" w:type="dxa"/>
            <w:gridSpan w:val="2"/>
            <w:vAlign w:val="center"/>
          </w:tcPr>
          <w:p>
            <w:pPr>
              <w:widowControl/>
              <w:shd w:val="clear" w:color="auto" w:fill="FFFFFF"/>
              <w:jc w:val="center"/>
              <w:rPr>
                <w:rFonts w:ascii="宋体" w:hAnsi="Times New Roman"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评分类别</w:t>
            </w:r>
          </w:p>
        </w:tc>
        <w:tc>
          <w:tcPr>
            <w:tcW w:w="5499" w:type="dxa"/>
            <w:gridSpan w:val="2"/>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评分项目</w:t>
            </w:r>
          </w:p>
        </w:tc>
        <w:tc>
          <w:tcPr>
            <w:tcW w:w="1463" w:type="dxa"/>
            <w:gridSpan w:val="2"/>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对应章节</w:t>
            </w:r>
          </w:p>
        </w:tc>
        <w:tc>
          <w:tcPr>
            <w:tcW w:w="1397" w:type="dxa"/>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价格部分</w:t>
            </w:r>
          </w:p>
        </w:tc>
        <w:tc>
          <w:tcPr>
            <w:tcW w:w="5499" w:type="dxa"/>
            <w:gridSpan w:val="2"/>
            <w:vAlign w:val="center"/>
          </w:tcPr>
          <w:p>
            <w:pPr>
              <w:widowControl/>
              <w:shd w:val="clear" w:color="auto" w:fill="FFFFFF"/>
              <w:jc w:val="center"/>
              <w:rPr>
                <w:rFonts w:ascii="宋体" w:hAnsi="Times New Roman" w:eastAsia="宋体" w:cs="宋体"/>
                <w:kern w:val="0"/>
                <w:szCs w:val="24"/>
              </w:rPr>
            </w:pPr>
          </w:p>
        </w:tc>
        <w:tc>
          <w:tcPr>
            <w:tcW w:w="1463" w:type="dxa"/>
            <w:gridSpan w:val="2"/>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5499" w:type="dxa"/>
            <w:gridSpan w:val="2"/>
            <w:vAlign w:val="center"/>
          </w:tcPr>
          <w:p>
            <w:pPr>
              <w:widowControl/>
              <w:shd w:val="clear" w:color="auto" w:fill="FFFFFF"/>
              <w:jc w:val="center"/>
              <w:rPr>
                <w:rFonts w:ascii="宋体" w:hAnsi="Times New Roman" w:eastAsia="宋体" w:cs="宋体"/>
                <w:b/>
                <w:kern w:val="0"/>
                <w:szCs w:val="24"/>
              </w:rPr>
            </w:pPr>
          </w:p>
        </w:tc>
        <w:tc>
          <w:tcPr>
            <w:tcW w:w="1463" w:type="dxa"/>
            <w:gridSpan w:val="2"/>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widowControl/>
              <w:shd w:val="clear" w:color="auto" w:fill="FFFFFF"/>
              <w:jc w:val="center"/>
              <w:rPr>
                <w:rFonts w:ascii="宋体" w:hAnsi="Times New Roman" w:eastAsia="宋体" w:cs="宋体"/>
                <w:b/>
                <w:kern w:val="0"/>
                <w:szCs w:val="24"/>
              </w:rPr>
            </w:pPr>
            <w:r>
              <w:rPr>
                <w:rFonts w:hint="eastAsia" w:ascii="宋体" w:hAnsi="Times New Roman" w:eastAsia="宋体" w:cs="宋体"/>
                <w:b/>
                <w:kern w:val="0"/>
                <w:szCs w:val="24"/>
              </w:rPr>
              <w:t>技术部分</w:t>
            </w:r>
          </w:p>
        </w:tc>
        <w:tc>
          <w:tcPr>
            <w:tcW w:w="5499" w:type="dxa"/>
            <w:gridSpan w:val="2"/>
            <w:vAlign w:val="center"/>
          </w:tcPr>
          <w:p>
            <w:pPr>
              <w:widowControl/>
              <w:shd w:val="clear" w:color="auto" w:fill="FFFFFF"/>
              <w:jc w:val="center"/>
              <w:rPr>
                <w:rFonts w:ascii="宋体" w:hAnsi="Times New Roman" w:eastAsia="宋体" w:cs="宋体"/>
                <w:b/>
                <w:kern w:val="0"/>
                <w:szCs w:val="24"/>
              </w:rPr>
            </w:pPr>
          </w:p>
        </w:tc>
        <w:tc>
          <w:tcPr>
            <w:tcW w:w="1463" w:type="dxa"/>
            <w:gridSpan w:val="2"/>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5499" w:type="dxa"/>
            <w:gridSpan w:val="2"/>
            <w:vAlign w:val="center"/>
          </w:tcPr>
          <w:p>
            <w:pPr>
              <w:widowControl/>
              <w:shd w:val="clear" w:color="auto" w:fill="FFFFFF"/>
              <w:jc w:val="center"/>
              <w:rPr>
                <w:rFonts w:ascii="宋体" w:hAnsi="Times New Roman" w:eastAsia="宋体" w:cs="宋体"/>
                <w:b/>
                <w:kern w:val="0"/>
                <w:szCs w:val="24"/>
              </w:rPr>
            </w:pPr>
          </w:p>
        </w:tc>
        <w:tc>
          <w:tcPr>
            <w:tcW w:w="1463" w:type="dxa"/>
            <w:gridSpan w:val="2"/>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widowControl/>
              <w:shd w:val="clear" w:color="auto" w:fill="FFFFFF"/>
              <w:jc w:val="center"/>
              <w:rPr>
                <w:rFonts w:ascii="宋体" w:hAnsi="Times New Roman" w:eastAsia="宋体" w:cs="宋体"/>
                <w:b/>
                <w:szCs w:val="24"/>
              </w:rPr>
            </w:pPr>
            <w:r>
              <w:rPr>
                <w:rFonts w:hint="eastAsia" w:ascii="宋体" w:hAnsi="Times New Roman" w:eastAsia="宋体" w:cs="宋体"/>
                <w:b/>
                <w:kern w:val="0"/>
                <w:szCs w:val="24"/>
              </w:rPr>
              <w:t>商务部分</w:t>
            </w:r>
          </w:p>
        </w:tc>
        <w:tc>
          <w:tcPr>
            <w:tcW w:w="5499" w:type="dxa"/>
            <w:gridSpan w:val="2"/>
            <w:vAlign w:val="center"/>
          </w:tcPr>
          <w:p>
            <w:pPr>
              <w:widowControl/>
              <w:shd w:val="clear" w:color="auto" w:fill="FFFFFF"/>
              <w:jc w:val="center"/>
              <w:rPr>
                <w:rFonts w:ascii="宋体" w:hAnsi="Times New Roman" w:eastAsia="宋体" w:cs="宋体"/>
                <w:b/>
                <w:kern w:val="0"/>
                <w:szCs w:val="24"/>
              </w:rPr>
            </w:pPr>
          </w:p>
        </w:tc>
        <w:tc>
          <w:tcPr>
            <w:tcW w:w="1463" w:type="dxa"/>
            <w:gridSpan w:val="2"/>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widowControl/>
              <w:shd w:val="clear" w:color="auto" w:fill="FFFFFF"/>
              <w:tabs>
                <w:tab w:val="left" w:pos="426"/>
              </w:tabs>
              <w:adjustRightInd w:val="0"/>
              <w:snapToGrid w:val="0"/>
              <w:spacing w:line="360" w:lineRule="auto"/>
              <w:rPr>
                <w:rFonts w:ascii="宋体" w:hAnsi="Times New Roman" w:eastAsia="宋体" w:cs="宋体"/>
                <w:kern w:val="0"/>
                <w:szCs w:val="24"/>
              </w:rPr>
            </w:pPr>
          </w:p>
        </w:tc>
        <w:tc>
          <w:tcPr>
            <w:tcW w:w="5499" w:type="dxa"/>
            <w:gridSpan w:val="2"/>
            <w:vAlign w:val="center"/>
          </w:tcPr>
          <w:p>
            <w:pPr>
              <w:widowControl/>
              <w:shd w:val="clear" w:color="auto" w:fill="FFFFFF"/>
              <w:jc w:val="center"/>
              <w:rPr>
                <w:rFonts w:ascii="宋体" w:hAnsi="Times New Roman" w:eastAsia="宋体" w:cs="宋体"/>
                <w:b/>
                <w:kern w:val="0"/>
                <w:szCs w:val="24"/>
              </w:rPr>
            </w:pPr>
          </w:p>
        </w:tc>
        <w:tc>
          <w:tcPr>
            <w:tcW w:w="1463" w:type="dxa"/>
            <w:gridSpan w:val="2"/>
            <w:vAlign w:val="center"/>
          </w:tcPr>
          <w:p>
            <w:pPr>
              <w:widowControl/>
              <w:shd w:val="clear" w:color="auto" w:fill="FFFFFF"/>
              <w:jc w:val="center"/>
              <w:rPr>
                <w:rFonts w:ascii="宋体" w:hAnsi="Times New Roman" w:eastAsia="宋体" w:cs="宋体"/>
                <w:b/>
                <w:kern w:val="0"/>
                <w:szCs w:val="24"/>
              </w:rPr>
            </w:pPr>
          </w:p>
        </w:tc>
        <w:tc>
          <w:tcPr>
            <w:tcW w:w="1397" w:type="dxa"/>
            <w:vAlign w:val="center"/>
          </w:tcPr>
          <w:p>
            <w:pPr>
              <w:widowControl/>
              <w:shd w:val="clear" w:color="auto" w:fill="FFFFFF"/>
              <w:jc w:val="center"/>
              <w:rPr>
                <w:rFonts w:ascii="宋体" w:hAnsi="Times New Roman" w:eastAsia="宋体" w:cs="宋体"/>
                <w:b/>
                <w:kern w:val="0"/>
                <w:szCs w:val="24"/>
              </w:rPr>
            </w:pPr>
          </w:p>
        </w:tc>
      </w:tr>
    </w:tbl>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1"/>
        </w:rPr>
        <w:t>备注：对于“</w:t>
      </w:r>
      <w:r>
        <w:rPr>
          <w:rFonts w:hint="eastAsia" w:ascii="宋体" w:hAnsi="Times New Roman" w:eastAsia="宋体" w:cs="宋体"/>
          <w:b/>
          <w:kern w:val="0"/>
          <w:szCs w:val="24"/>
        </w:rPr>
        <w:t>综合评分指引”</w:t>
      </w:r>
      <w:r>
        <w:rPr>
          <w:rFonts w:hint="eastAsia" w:ascii="宋体" w:hAnsi="Times New Roman" w:eastAsia="宋体" w:cs="宋体"/>
          <w:kern w:val="0"/>
          <w:szCs w:val="21"/>
        </w:rPr>
        <w:t>请投标供应商按照</w:t>
      </w:r>
      <w:r>
        <w:rPr>
          <w:rFonts w:hint="eastAsia" w:ascii="宋体" w:hAnsi="Times New Roman" w:eastAsia="宋体" w:cs="宋体"/>
          <w:b/>
          <w:kern w:val="0"/>
          <w:szCs w:val="21"/>
        </w:rPr>
        <w:t>评分细则表</w:t>
      </w:r>
      <w:r>
        <w:rPr>
          <w:rFonts w:hint="eastAsia" w:ascii="宋体" w:hAnsi="Times New Roman" w:eastAsia="宋体" w:cs="宋体"/>
          <w:kern w:val="0"/>
          <w:szCs w:val="21"/>
        </w:rPr>
        <w:t>的评分要求，根据各评分项目以</w:t>
      </w:r>
      <w:r>
        <w:rPr>
          <w:rFonts w:hint="eastAsia" w:ascii="宋体" w:hAnsi="Times New Roman" w:eastAsia="宋体" w:cs="宋体"/>
          <w:b/>
          <w:kern w:val="0"/>
          <w:szCs w:val="21"/>
        </w:rPr>
        <w:t>自上而下</w:t>
      </w:r>
      <w:r>
        <w:rPr>
          <w:rFonts w:hint="eastAsia" w:ascii="宋体" w:hAnsi="Times New Roman" w:eastAsia="宋体" w:cs="宋体"/>
          <w:kern w:val="0"/>
          <w:szCs w:val="21"/>
        </w:rPr>
        <w:t>的顺序编制</w:t>
      </w:r>
      <w:r>
        <w:rPr>
          <w:rFonts w:hint="eastAsia" w:ascii="宋体" w:hAnsi="Times New Roman" w:eastAsia="宋体" w:cs="宋体"/>
          <w:kern w:val="0"/>
          <w:szCs w:val="24"/>
        </w:rPr>
        <w:t>。因项目次序混乱而影响评标效率及评标结果者，投标供应商自负其责。</w:t>
      </w:r>
    </w:p>
    <w:p>
      <w:pPr>
        <w:widowControl/>
        <w:shd w:val="clear" w:color="auto" w:fill="FFFFFF"/>
        <w:tabs>
          <w:tab w:val="left" w:pos="426"/>
        </w:tabs>
        <w:spacing w:before="280" w:after="290" w:line="377" w:lineRule="auto"/>
        <w:outlineLvl w:val="2"/>
        <w:rPr>
          <w:rFonts w:ascii="宋体" w:hAnsi="Times New Roman" w:eastAsia="宋体" w:cs="宋体"/>
          <w:bCs/>
          <w:kern w:val="0"/>
          <w:sz w:val="24"/>
          <w:szCs w:val="24"/>
        </w:rPr>
      </w:pPr>
      <w:r>
        <w:rPr>
          <w:rFonts w:ascii="宋体" w:hAnsi="Times New Roman" w:eastAsia="宋体" w:cs="宋体"/>
          <w:kern w:val="0"/>
          <w:szCs w:val="24"/>
        </w:rPr>
        <w:br w:type="page"/>
      </w:r>
      <w:bookmarkStart w:id="95" w:name="_Toc36829693"/>
      <w:bookmarkStart w:id="96" w:name="_Toc37168508"/>
      <w:bookmarkStart w:id="97" w:name="_Toc167352560"/>
      <w:bookmarkStart w:id="98" w:name="_Toc150794120"/>
      <w:r>
        <w:rPr>
          <w:rFonts w:hint="eastAsia" w:ascii="宋体" w:hAnsi="Times New Roman" w:eastAsia="宋体" w:cs="宋体"/>
          <w:b/>
          <w:kern w:val="0"/>
          <w:sz w:val="24"/>
          <w:szCs w:val="24"/>
        </w:rPr>
        <w:t>价格</w:t>
      </w:r>
      <w:bookmarkEnd w:id="95"/>
      <w:bookmarkEnd w:id="96"/>
      <w:r>
        <w:rPr>
          <w:rFonts w:hint="eastAsia" w:ascii="宋体" w:hAnsi="Times New Roman" w:eastAsia="宋体" w:cs="宋体"/>
          <w:b/>
          <w:kern w:val="0"/>
          <w:sz w:val="24"/>
          <w:szCs w:val="24"/>
        </w:rPr>
        <w:t>标</w:t>
      </w:r>
      <w:bookmarkEnd w:id="97"/>
      <w:bookmarkEnd w:id="98"/>
    </w:p>
    <w:p>
      <w:pPr>
        <w:keepNext/>
        <w:keepLines/>
        <w:widowControl/>
        <w:numPr>
          <w:ilvl w:val="0"/>
          <w:numId w:val="42"/>
        </w:numPr>
        <w:shd w:val="clear" w:color="auto" w:fill="FFFFFF"/>
        <w:tabs>
          <w:tab w:val="left" w:pos="426"/>
        </w:tabs>
        <w:adjustRightInd w:val="0"/>
        <w:snapToGrid w:val="0"/>
        <w:spacing w:before="280" w:after="290" w:line="376" w:lineRule="auto"/>
        <w:ind w:firstLine="0"/>
        <w:jc w:val="left"/>
        <w:outlineLvl w:val="3"/>
        <w:rPr>
          <w:rFonts w:ascii="Arial" w:hAnsi="Arial" w:eastAsia="黑体" w:cs="Times New Roman"/>
          <w:b/>
          <w:bCs/>
          <w:sz w:val="28"/>
          <w:szCs w:val="28"/>
        </w:rPr>
      </w:pPr>
      <w:bookmarkStart w:id="99" w:name="_Toc36822685"/>
      <w:r>
        <w:rPr>
          <w:rFonts w:hint="eastAsia" w:ascii="Arial" w:hAnsi="Arial" w:eastAsia="黑体" w:cs="Times New Roman"/>
          <w:b/>
          <w:bCs/>
          <w:sz w:val="28"/>
          <w:szCs w:val="28"/>
        </w:rPr>
        <w:t>、开标一览表(报价表)</w:t>
      </w:r>
      <w:bookmarkEnd w:id="99"/>
    </w:p>
    <w:p>
      <w:pPr>
        <w:spacing w:line="300" w:lineRule="auto"/>
        <w:jc w:val="center"/>
        <w:rPr>
          <w:rFonts w:ascii="宋体" w:hAnsi="Times New Roman" w:eastAsia="宋体" w:cs="Times New Roman"/>
          <w:bCs/>
          <w:sz w:val="32"/>
          <w:szCs w:val="32"/>
        </w:rPr>
      </w:pPr>
      <w:r>
        <w:rPr>
          <w:rFonts w:hint="eastAsia" w:ascii="宋体" w:hAnsi="Times New Roman" w:eastAsia="宋体" w:cs="Times New Roman"/>
          <w:bCs/>
          <w:sz w:val="32"/>
          <w:szCs w:val="32"/>
        </w:rPr>
        <w:t>开标一览表(报价表)</w:t>
      </w:r>
    </w:p>
    <w:p>
      <w:pPr>
        <w:widowControl/>
        <w:shd w:val="clear" w:color="auto" w:fill="FFFFFF"/>
        <w:adjustRightInd w:val="0"/>
        <w:snapToGrid w:val="0"/>
        <w:spacing w:line="360" w:lineRule="auto"/>
        <w:jc w:val="left"/>
        <w:rPr>
          <w:rFonts w:ascii="宋体" w:hAnsi="Times New Roman" w:eastAsia="宋体" w:cs="宋体"/>
          <w:kern w:val="0"/>
          <w:szCs w:val="24"/>
        </w:rPr>
      </w:pPr>
    </w:p>
    <w:p>
      <w:pPr>
        <w:widowControl/>
        <w:shd w:val="clear" w:color="auto" w:fill="FFFFFF"/>
        <w:adjustRightInd w:val="0"/>
        <w:snapToGrid w:val="0"/>
        <w:spacing w:line="360" w:lineRule="auto"/>
        <w:jc w:val="left"/>
        <w:rPr>
          <w:rFonts w:ascii="宋体" w:hAnsi="Times New Roman" w:eastAsia="宋体" w:cs="宋体"/>
          <w:kern w:val="0"/>
          <w:szCs w:val="21"/>
          <w:u w:val="single"/>
        </w:rPr>
      </w:pPr>
      <w:r>
        <w:rPr>
          <w:rFonts w:hint="eastAsia" w:ascii="宋体" w:hAnsi="Times New Roman" w:eastAsia="宋体" w:cs="宋体"/>
          <w:kern w:val="0"/>
          <w:szCs w:val="24"/>
        </w:rPr>
        <w:t>项目名称：</w:t>
      </w:r>
      <w:r>
        <w:rPr>
          <w:rFonts w:hint="eastAsia" w:ascii="宋体" w:hAnsi="Times New Roman" w:eastAsia="宋体" w:cs="宋体"/>
          <w:kern w:val="0"/>
          <w:szCs w:val="21"/>
          <w:u w:val="single"/>
        </w:rPr>
        <w:t>______________________</w:t>
      </w:r>
      <w:r>
        <w:rPr>
          <w:rFonts w:hint="eastAsia" w:ascii="宋体" w:hAnsi="Times New Roman" w:eastAsia="宋体" w:cs="宋体"/>
          <w:kern w:val="0"/>
          <w:szCs w:val="24"/>
        </w:rPr>
        <w:t>项目编号：</w:t>
      </w:r>
      <w:r>
        <w:rPr>
          <w:rFonts w:hint="eastAsia" w:ascii="宋体" w:hAnsi="Times New Roman" w:eastAsia="宋体" w:cs="宋体"/>
          <w:kern w:val="0"/>
          <w:szCs w:val="21"/>
          <w:u w:val="single"/>
        </w:rPr>
        <w:t>______________________</w:t>
      </w:r>
    </w:p>
    <w:tbl>
      <w:tblPr>
        <w:tblStyle w:val="86"/>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909"/>
        <w:gridCol w:w="2550"/>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8" w:type="pct"/>
            <w:vAlign w:val="center"/>
          </w:tcPr>
          <w:p>
            <w:pPr>
              <w:jc w:val="center"/>
              <w:rPr>
                <w:rFonts w:hAnsi="宋体"/>
                <w:b/>
                <w:szCs w:val="21"/>
              </w:rPr>
            </w:pPr>
            <w:r>
              <w:rPr>
                <w:rFonts w:hint="eastAsia" w:hAnsi="宋体"/>
                <w:b/>
                <w:szCs w:val="21"/>
              </w:rPr>
              <w:t>序号</w:t>
            </w:r>
          </w:p>
        </w:tc>
        <w:tc>
          <w:tcPr>
            <w:tcW w:w="2097" w:type="pct"/>
            <w:vAlign w:val="center"/>
          </w:tcPr>
          <w:p>
            <w:pPr>
              <w:jc w:val="center"/>
              <w:rPr>
                <w:rFonts w:hAnsi="宋体"/>
                <w:b/>
                <w:szCs w:val="21"/>
              </w:rPr>
            </w:pPr>
            <w:r>
              <w:rPr>
                <w:rFonts w:hint="eastAsia" w:hAnsi="宋体"/>
                <w:b/>
                <w:szCs w:val="21"/>
              </w:rPr>
              <w:t>项目名称</w:t>
            </w:r>
          </w:p>
        </w:tc>
        <w:tc>
          <w:tcPr>
            <w:tcW w:w="1368" w:type="pct"/>
            <w:vAlign w:val="center"/>
          </w:tcPr>
          <w:p>
            <w:pPr>
              <w:jc w:val="center"/>
              <w:rPr>
                <w:rFonts w:hAnsi="宋体"/>
                <w:b/>
                <w:szCs w:val="21"/>
              </w:rPr>
            </w:pPr>
            <w:r>
              <w:rPr>
                <w:rFonts w:hint="eastAsia" w:hAnsi="宋体"/>
                <w:b/>
                <w:szCs w:val="21"/>
              </w:rPr>
              <w:t>投标报价（元/年）</w:t>
            </w:r>
          </w:p>
        </w:tc>
        <w:tc>
          <w:tcPr>
            <w:tcW w:w="987" w:type="pct"/>
            <w:vAlign w:val="center"/>
          </w:tcPr>
          <w:p>
            <w:pPr>
              <w:jc w:val="center"/>
              <w:rPr>
                <w:rFonts w:hAnsi="宋体"/>
                <w:b/>
                <w:szCs w:val="21"/>
              </w:rPr>
            </w:pPr>
            <w:r>
              <w:rPr>
                <w:rFonts w:hint="eastAsia"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48" w:type="pct"/>
            <w:vAlign w:val="center"/>
          </w:tcPr>
          <w:p>
            <w:pPr>
              <w:jc w:val="center"/>
              <w:rPr>
                <w:rFonts w:hAnsi="宋体"/>
                <w:bCs/>
                <w:szCs w:val="21"/>
              </w:rPr>
            </w:pPr>
            <w:r>
              <w:rPr>
                <w:rFonts w:hint="eastAsia" w:hAnsi="宋体"/>
                <w:bCs/>
                <w:szCs w:val="21"/>
              </w:rPr>
              <w:t>1</w:t>
            </w:r>
          </w:p>
        </w:tc>
        <w:tc>
          <w:tcPr>
            <w:tcW w:w="2097" w:type="pct"/>
            <w:vAlign w:val="center"/>
          </w:tcPr>
          <w:p>
            <w:pPr>
              <w:jc w:val="center"/>
              <w:rPr>
                <w:rFonts w:hAnsi="宋体"/>
                <w:bCs/>
                <w:szCs w:val="21"/>
              </w:rPr>
            </w:pPr>
            <w:r>
              <w:rPr>
                <w:rFonts w:hint="eastAsia" w:hAnsi="宋体"/>
                <w:bCs/>
                <w:szCs w:val="21"/>
              </w:rPr>
              <w:t>深圳海关后勤管理中心</w:t>
            </w:r>
          </w:p>
          <w:p>
            <w:pPr>
              <w:jc w:val="center"/>
              <w:rPr>
                <w:rFonts w:hAnsi="宋体"/>
                <w:bCs/>
                <w:szCs w:val="21"/>
              </w:rPr>
            </w:pPr>
            <w:r>
              <w:rPr>
                <w:rFonts w:hAnsi="宋体"/>
                <w:bCs/>
                <w:szCs w:val="21"/>
              </w:rPr>
              <w:t>202</w:t>
            </w:r>
            <w:r>
              <w:rPr>
                <w:rFonts w:hint="eastAsia" w:hAnsi="宋体"/>
                <w:bCs/>
                <w:szCs w:val="21"/>
              </w:rPr>
              <w:t>5</w:t>
            </w:r>
            <w:r>
              <w:rPr>
                <w:rFonts w:hAnsi="宋体"/>
                <w:bCs/>
                <w:szCs w:val="21"/>
              </w:rPr>
              <w:t>-202</w:t>
            </w:r>
            <w:r>
              <w:rPr>
                <w:rFonts w:hint="eastAsia" w:hAnsi="宋体"/>
                <w:bCs/>
                <w:szCs w:val="21"/>
              </w:rPr>
              <w:t>6</w:t>
            </w:r>
            <w:r>
              <w:rPr>
                <w:rFonts w:hAnsi="宋体"/>
                <w:bCs/>
                <w:szCs w:val="21"/>
              </w:rPr>
              <w:t>年度电梯维保服务</w:t>
            </w:r>
          </w:p>
        </w:tc>
        <w:tc>
          <w:tcPr>
            <w:tcW w:w="1368" w:type="pct"/>
            <w:vAlign w:val="center"/>
          </w:tcPr>
          <w:p>
            <w:pPr>
              <w:jc w:val="center"/>
              <w:rPr>
                <w:rFonts w:hAnsi="宋体"/>
                <w:b/>
                <w:szCs w:val="21"/>
              </w:rPr>
            </w:pPr>
          </w:p>
        </w:tc>
        <w:tc>
          <w:tcPr>
            <w:tcW w:w="987" w:type="pct"/>
            <w:vAlign w:val="center"/>
          </w:tcPr>
          <w:p>
            <w:pPr>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48" w:type="pct"/>
            <w:vAlign w:val="center"/>
          </w:tcPr>
          <w:p>
            <w:pPr>
              <w:jc w:val="center"/>
              <w:rPr>
                <w:rFonts w:hAnsi="宋体"/>
                <w:bCs/>
                <w:szCs w:val="21"/>
              </w:rPr>
            </w:pPr>
            <w:r>
              <w:rPr>
                <w:rFonts w:hint="eastAsia" w:hAnsi="宋体"/>
                <w:bCs/>
                <w:szCs w:val="21"/>
              </w:rPr>
              <w:t>2</w:t>
            </w:r>
          </w:p>
        </w:tc>
        <w:tc>
          <w:tcPr>
            <w:tcW w:w="2097" w:type="pct"/>
            <w:vAlign w:val="center"/>
          </w:tcPr>
          <w:p>
            <w:pPr>
              <w:jc w:val="center"/>
              <w:rPr>
                <w:rFonts w:hAnsi="宋体"/>
                <w:bCs/>
                <w:szCs w:val="21"/>
              </w:rPr>
            </w:pPr>
            <w:r>
              <w:rPr>
                <w:rFonts w:hint="eastAsia" w:hAnsi="宋体"/>
                <w:bCs/>
                <w:szCs w:val="21"/>
              </w:rPr>
              <w:t>深圳市深海悦物业管理服务有限公司</w:t>
            </w:r>
          </w:p>
          <w:p>
            <w:pPr>
              <w:jc w:val="center"/>
              <w:rPr>
                <w:rFonts w:hAnsi="宋体"/>
                <w:bCs/>
                <w:szCs w:val="21"/>
              </w:rPr>
            </w:pPr>
            <w:r>
              <w:rPr>
                <w:rFonts w:hAnsi="宋体"/>
                <w:bCs/>
                <w:szCs w:val="21"/>
              </w:rPr>
              <w:t>202</w:t>
            </w:r>
            <w:r>
              <w:rPr>
                <w:rFonts w:hint="eastAsia" w:hAnsi="宋体"/>
                <w:bCs/>
                <w:szCs w:val="21"/>
              </w:rPr>
              <w:t>5</w:t>
            </w:r>
            <w:r>
              <w:rPr>
                <w:rFonts w:hAnsi="宋体"/>
                <w:bCs/>
                <w:szCs w:val="21"/>
              </w:rPr>
              <w:t>-202</w:t>
            </w:r>
            <w:r>
              <w:rPr>
                <w:rFonts w:hint="eastAsia" w:hAnsi="宋体"/>
                <w:bCs/>
                <w:szCs w:val="21"/>
              </w:rPr>
              <w:t>6</w:t>
            </w:r>
            <w:r>
              <w:rPr>
                <w:rFonts w:hAnsi="宋体"/>
                <w:bCs/>
                <w:szCs w:val="21"/>
              </w:rPr>
              <w:t>年度电梯维保服务</w:t>
            </w:r>
          </w:p>
        </w:tc>
        <w:tc>
          <w:tcPr>
            <w:tcW w:w="1368" w:type="pct"/>
            <w:vAlign w:val="center"/>
          </w:tcPr>
          <w:p>
            <w:pPr>
              <w:jc w:val="center"/>
              <w:rPr>
                <w:rFonts w:hAnsi="宋体"/>
                <w:b/>
                <w:szCs w:val="21"/>
              </w:rPr>
            </w:pPr>
          </w:p>
        </w:tc>
        <w:tc>
          <w:tcPr>
            <w:tcW w:w="987" w:type="pct"/>
            <w:vAlign w:val="center"/>
          </w:tcPr>
          <w:p>
            <w:pPr>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48" w:type="pct"/>
            <w:vAlign w:val="center"/>
          </w:tcPr>
          <w:p>
            <w:pPr>
              <w:jc w:val="center"/>
              <w:rPr>
                <w:rFonts w:hAnsi="宋体"/>
                <w:bCs/>
                <w:szCs w:val="21"/>
              </w:rPr>
            </w:pPr>
            <w:r>
              <w:rPr>
                <w:rFonts w:hint="eastAsia" w:hAnsi="宋体"/>
                <w:bCs/>
                <w:szCs w:val="21"/>
              </w:rPr>
              <w:t>3</w:t>
            </w:r>
          </w:p>
        </w:tc>
        <w:tc>
          <w:tcPr>
            <w:tcW w:w="2097" w:type="pct"/>
            <w:vAlign w:val="center"/>
          </w:tcPr>
          <w:p>
            <w:pPr>
              <w:jc w:val="center"/>
              <w:rPr>
                <w:rFonts w:hAnsi="宋体"/>
                <w:bCs/>
                <w:szCs w:val="21"/>
              </w:rPr>
            </w:pPr>
            <w:r>
              <w:rPr>
                <w:rFonts w:hint="eastAsia" w:hAnsi="宋体"/>
                <w:bCs/>
                <w:szCs w:val="21"/>
              </w:rPr>
              <w:t>深圳市鹏检物业管理有限公司</w:t>
            </w:r>
          </w:p>
          <w:p>
            <w:pPr>
              <w:jc w:val="center"/>
              <w:rPr>
                <w:rFonts w:hAnsi="宋体"/>
                <w:bCs/>
                <w:szCs w:val="21"/>
              </w:rPr>
            </w:pPr>
            <w:r>
              <w:rPr>
                <w:rFonts w:hAnsi="宋体"/>
                <w:bCs/>
                <w:szCs w:val="21"/>
              </w:rPr>
              <w:t>202</w:t>
            </w:r>
            <w:r>
              <w:rPr>
                <w:rFonts w:hint="eastAsia" w:hAnsi="宋体"/>
                <w:bCs/>
                <w:szCs w:val="21"/>
              </w:rPr>
              <w:t>5</w:t>
            </w:r>
            <w:r>
              <w:rPr>
                <w:rFonts w:hAnsi="宋体"/>
                <w:bCs/>
                <w:szCs w:val="21"/>
              </w:rPr>
              <w:t>-202</w:t>
            </w:r>
            <w:r>
              <w:rPr>
                <w:rFonts w:hint="eastAsia" w:hAnsi="宋体"/>
                <w:bCs/>
                <w:szCs w:val="21"/>
              </w:rPr>
              <w:t>6</w:t>
            </w:r>
            <w:r>
              <w:rPr>
                <w:rFonts w:hAnsi="宋体"/>
                <w:bCs/>
                <w:szCs w:val="21"/>
              </w:rPr>
              <w:t>年度电梯维保服务</w:t>
            </w:r>
          </w:p>
        </w:tc>
        <w:tc>
          <w:tcPr>
            <w:tcW w:w="1368" w:type="pct"/>
            <w:vAlign w:val="center"/>
          </w:tcPr>
          <w:p>
            <w:pPr>
              <w:jc w:val="center"/>
              <w:rPr>
                <w:rFonts w:hAnsi="宋体"/>
                <w:b/>
                <w:szCs w:val="21"/>
              </w:rPr>
            </w:pPr>
          </w:p>
        </w:tc>
        <w:tc>
          <w:tcPr>
            <w:tcW w:w="987" w:type="pct"/>
            <w:vAlign w:val="center"/>
          </w:tcPr>
          <w:p>
            <w:pPr>
              <w:jc w:val="center"/>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645" w:type="pct"/>
            <w:gridSpan w:val="2"/>
            <w:vAlign w:val="center"/>
          </w:tcPr>
          <w:p>
            <w:pPr>
              <w:jc w:val="center"/>
              <w:rPr>
                <w:rFonts w:hAnsi="宋体"/>
                <w:b/>
                <w:szCs w:val="21"/>
              </w:rPr>
            </w:pPr>
            <w:r>
              <w:rPr>
                <w:rFonts w:hint="eastAsia" w:hAnsi="宋体"/>
                <w:b/>
                <w:szCs w:val="21"/>
              </w:rPr>
              <w:t>合计</w:t>
            </w:r>
          </w:p>
        </w:tc>
        <w:tc>
          <w:tcPr>
            <w:tcW w:w="1368" w:type="pct"/>
            <w:vAlign w:val="center"/>
          </w:tcPr>
          <w:p>
            <w:pPr>
              <w:jc w:val="center"/>
              <w:rPr>
                <w:rFonts w:hAnsi="宋体"/>
                <w:b/>
                <w:szCs w:val="21"/>
              </w:rPr>
            </w:pPr>
          </w:p>
        </w:tc>
        <w:tc>
          <w:tcPr>
            <w:tcW w:w="987" w:type="pct"/>
            <w:vAlign w:val="center"/>
          </w:tcPr>
          <w:p>
            <w:pPr>
              <w:jc w:val="center"/>
              <w:rPr>
                <w:rFonts w:hAnsi="宋体"/>
                <w:b/>
                <w:szCs w:val="21"/>
              </w:rPr>
            </w:pPr>
          </w:p>
        </w:tc>
      </w:tr>
    </w:tbl>
    <w:p>
      <w:pPr>
        <w:widowControl/>
        <w:shd w:val="clear" w:color="auto" w:fill="FFFFFF"/>
        <w:adjustRightInd w:val="0"/>
        <w:snapToGrid w:val="0"/>
        <w:spacing w:line="500" w:lineRule="exact"/>
        <w:jc w:val="left"/>
        <w:rPr>
          <w:rFonts w:ascii="宋体" w:hAnsi="Times New Roman" w:eastAsia="宋体" w:cs="宋体"/>
          <w:spacing w:val="4"/>
          <w:kern w:val="0"/>
          <w:szCs w:val="24"/>
        </w:rPr>
      </w:pPr>
    </w:p>
    <w:p>
      <w:pPr>
        <w:widowControl/>
        <w:shd w:val="clear" w:color="auto" w:fill="FFFFFF"/>
        <w:adjustRightInd w:val="0"/>
        <w:snapToGrid w:val="0"/>
        <w:spacing w:line="500" w:lineRule="exact"/>
        <w:jc w:val="left"/>
        <w:rPr>
          <w:rFonts w:ascii="宋体" w:hAnsi="Times New Roman" w:eastAsia="宋体" w:cs="宋体"/>
          <w:kern w:val="0"/>
          <w:szCs w:val="24"/>
          <w:u w:val="single"/>
        </w:rPr>
      </w:pPr>
      <w:r>
        <w:rPr>
          <w:rFonts w:hint="eastAsia" w:ascii="宋体" w:hAnsi="Times New Roman" w:eastAsia="宋体" w:cs="宋体"/>
          <w:spacing w:val="4"/>
          <w:kern w:val="0"/>
          <w:szCs w:val="24"/>
        </w:rPr>
        <w:t>投标供应商名称（</w:t>
      </w:r>
      <w:r>
        <w:rPr>
          <w:rFonts w:hint="eastAsia" w:ascii="宋体" w:hAnsi="Times New Roman" w:eastAsia="宋体" w:cs="宋体"/>
          <w:kern w:val="0"/>
          <w:szCs w:val="24"/>
        </w:rPr>
        <w:t>单位盖</w:t>
      </w:r>
      <w:r>
        <w:rPr>
          <w:rFonts w:hint="eastAsia" w:ascii="宋体" w:hAnsi="Times New Roman" w:eastAsia="宋体" w:cs="宋体"/>
          <w:spacing w:val="4"/>
          <w:kern w:val="0"/>
          <w:szCs w:val="24"/>
        </w:rPr>
        <w:t>公章）：</w:t>
      </w:r>
      <w:r>
        <w:rPr>
          <w:rFonts w:hint="eastAsia" w:ascii="宋体" w:hAnsi="Times New Roman" w:eastAsia="宋体" w:cs="宋体"/>
          <w:spacing w:val="4"/>
          <w:kern w:val="0"/>
          <w:szCs w:val="24"/>
          <w:u w:val="single"/>
        </w:rPr>
        <w:t>__________________________</w:t>
      </w:r>
    </w:p>
    <w:p>
      <w:pPr>
        <w:widowControl/>
        <w:shd w:val="clear" w:color="auto" w:fill="FFFFFF"/>
        <w:adjustRightInd w:val="0"/>
        <w:snapToGrid w:val="0"/>
        <w:spacing w:line="520" w:lineRule="exact"/>
        <w:jc w:val="left"/>
        <w:rPr>
          <w:rFonts w:ascii="宋体" w:hAnsi="Times New Roman" w:eastAsia="宋体" w:cs="宋体"/>
          <w:spacing w:val="4"/>
          <w:kern w:val="0"/>
          <w:szCs w:val="24"/>
        </w:rPr>
      </w:pPr>
      <w:r>
        <w:rPr>
          <w:rFonts w:hint="eastAsia" w:ascii="宋体" w:hAnsi="Times New Roman" w:eastAsia="宋体" w:cs="宋体"/>
          <w:kern w:val="0"/>
          <w:szCs w:val="24"/>
        </w:rPr>
        <w:t>法定代表人或投标供应商授权代表（签名或盖章）：</w:t>
      </w:r>
      <w:r>
        <w:rPr>
          <w:rFonts w:hint="eastAsia" w:ascii="宋体" w:hAnsi="Times New Roman" w:eastAsia="宋体" w:cs="宋体"/>
          <w:kern w:val="0"/>
          <w:szCs w:val="24"/>
          <w:u w:val="single"/>
        </w:rPr>
        <w:t>_____________</w:t>
      </w:r>
      <w:r>
        <w:rPr>
          <w:rFonts w:hint="eastAsia" w:ascii="宋体" w:hAnsi="Times New Roman" w:eastAsia="宋体" w:cs="宋体"/>
          <w:spacing w:val="4"/>
          <w:kern w:val="0"/>
          <w:szCs w:val="24"/>
        </w:rPr>
        <w:t>职务：</w:t>
      </w:r>
      <w:r>
        <w:rPr>
          <w:rFonts w:hint="eastAsia" w:ascii="宋体" w:hAnsi="Times New Roman" w:eastAsia="宋体" w:cs="宋体"/>
          <w:spacing w:val="4"/>
          <w:kern w:val="0"/>
          <w:szCs w:val="24"/>
          <w:u w:val="single"/>
        </w:rPr>
        <w:t>_________</w:t>
      </w:r>
      <w:r>
        <w:rPr>
          <w:rFonts w:hint="eastAsia" w:ascii="宋体" w:hAnsi="Times New Roman" w:eastAsia="宋体" w:cs="宋体"/>
          <w:spacing w:val="4"/>
          <w:kern w:val="0"/>
          <w:szCs w:val="24"/>
        </w:rPr>
        <w:t>日期</w:t>
      </w:r>
      <w:r>
        <w:rPr>
          <w:rFonts w:hint="eastAsia" w:ascii="宋体" w:hAnsi="Times New Roman" w:eastAsia="宋体" w:cs="宋体"/>
          <w:spacing w:val="4"/>
          <w:kern w:val="0"/>
          <w:szCs w:val="24"/>
          <w:u w:val="single"/>
        </w:rPr>
        <w:t>__________</w:t>
      </w:r>
    </w:p>
    <w:p>
      <w:pPr>
        <w:widowControl/>
        <w:shd w:val="clear" w:color="auto" w:fill="FFFFFF"/>
        <w:adjustRightInd w:val="0"/>
        <w:snapToGrid w:val="0"/>
        <w:spacing w:line="400" w:lineRule="exact"/>
        <w:ind w:firstLine="422"/>
        <w:jc w:val="left"/>
        <w:rPr>
          <w:rFonts w:ascii="宋体" w:hAnsi="Times New Roman" w:eastAsia="宋体" w:cs="宋体"/>
          <w:b/>
          <w:bCs/>
          <w:kern w:val="0"/>
          <w:szCs w:val="21"/>
        </w:rPr>
      </w:pPr>
      <w:r>
        <w:rPr>
          <w:rFonts w:hint="eastAsia" w:ascii="宋体" w:hAnsi="Times New Roman" w:eastAsia="宋体" w:cs="宋体"/>
          <w:b/>
          <w:bCs/>
          <w:kern w:val="0"/>
          <w:szCs w:val="21"/>
        </w:rPr>
        <w:t>备注：</w:t>
      </w:r>
    </w:p>
    <w:p>
      <w:pPr>
        <w:widowControl/>
        <w:numPr>
          <w:ilvl w:val="1"/>
          <w:numId w:val="43"/>
        </w:numPr>
        <w:shd w:val="clear" w:color="auto" w:fill="FFFFFF"/>
        <w:tabs>
          <w:tab w:val="left" w:pos="426"/>
        </w:tabs>
        <w:adjustRightInd w:val="0"/>
        <w:snapToGrid w:val="0"/>
        <w:spacing w:line="360" w:lineRule="auto"/>
        <w:ind w:left="0" w:firstLine="424" w:firstLineChars="201"/>
        <w:rPr>
          <w:rFonts w:ascii="宋体" w:hAnsi="Times New Roman" w:eastAsia="宋体" w:cs="宋体"/>
          <w:b/>
          <w:bCs/>
          <w:kern w:val="0"/>
          <w:szCs w:val="21"/>
        </w:rPr>
      </w:pPr>
      <w:r>
        <w:rPr>
          <w:rFonts w:ascii="宋体" w:hAnsi="Times New Roman" w:eastAsia="宋体" w:cs="宋体"/>
          <w:b/>
          <w:kern w:val="0"/>
          <w:szCs w:val="24"/>
        </w:rPr>
        <w:t>此表</w:t>
      </w:r>
      <w:r>
        <w:rPr>
          <w:rFonts w:hint="eastAsia" w:ascii="宋体" w:hAnsi="Times New Roman" w:eastAsia="宋体" w:cs="宋体"/>
          <w:b/>
          <w:kern w:val="0"/>
          <w:szCs w:val="24"/>
        </w:rPr>
        <w:t>为投标文件的组成部分，</w:t>
      </w:r>
      <w:r>
        <w:rPr>
          <w:rFonts w:ascii="宋体" w:hAnsi="Times New Roman" w:eastAsia="宋体" w:cs="宋体"/>
          <w:b/>
          <w:kern w:val="0"/>
          <w:szCs w:val="24"/>
        </w:rPr>
        <w:t>须附在正、副本的投标文件中，并另封装一份于开标信封中</w:t>
      </w:r>
      <w:r>
        <w:rPr>
          <w:rFonts w:hint="eastAsia" w:ascii="宋体" w:hAnsi="Times New Roman" w:eastAsia="宋体" w:cs="宋体"/>
          <w:b/>
          <w:kern w:val="0"/>
          <w:szCs w:val="24"/>
        </w:rPr>
        <w:t>（信封中须同时提供法定代表人证明书、法定代表人授权委托书、被授权人身份证复印件）。</w:t>
      </w:r>
    </w:p>
    <w:p>
      <w:pPr>
        <w:widowControl/>
        <w:numPr>
          <w:ilvl w:val="1"/>
          <w:numId w:val="43"/>
        </w:numPr>
        <w:shd w:val="clear" w:color="auto" w:fill="FFFFFF"/>
        <w:tabs>
          <w:tab w:val="left" w:pos="426"/>
        </w:tabs>
        <w:adjustRightInd w:val="0"/>
        <w:snapToGrid w:val="0"/>
        <w:spacing w:line="360" w:lineRule="auto"/>
        <w:ind w:left="0" w:firstLine="424" w:firstLineChars="201"/>
        <w:rPr>
          <w:rFonts w:ascii="宋体" w:hAnsi="Times New Roman" w:eastAsia="宋体" w:cs="宋体"/>
          <w:b/>
          <w:bCs/>
          <w:kern w:val="0"/>
          <w:szCs w:val="21"/>
        </w:rPr>
      </w:pPr>
      <w:r>
        <w:rPr>
          <w:rFonts w:hint="eastAsia" w:ascii="宋体" w:hAnsi="Times New Roman" w:eastAsia="宋体" w:cs="宋体"/>
          <w:b/>
          <w:kern w:val="0"/>
          <w:szCs w:val="24"/>
        </w:rPr>
        <w:t>此表内投标报价为最终价，为完成本项目所需的全部费用，开标信封及投标文件内不得含有任何对本报价进行修改的其他说明或资料，否则为无效投标</w:t>
      </w:r>
      <w:r>
        <w:rPr>
          <w:rFonts w:hint="eastAsia" w:ascii="宋体" w:hAnsi="Times New Roman" w:eastAsia="宋体" w:cs="宋体"/>
          <w:b/>
          <w:bCs/>
          <w:kern w:val="0"/>
          <w:szCs w:val="21"/>
        </w:rPr>
        <w:t>。</w:t>
      </w:r>
    </w:p>
    <w:p>
      <w:pPr>
        <w:widowControl/>
        <w:numPr>
          <w:ilvl w:val="1"/>
          <w:numId w:val="43"/>
        </w:numPr>
        <w:shd w:val="clear" w:color="auto" w:fill="FFFFFF"/>
        <w:tabs>
          <w:tab w:val="left" w:pos="426"/>
        </w:tabs>
        <w:adjustRightInd w:val="0"/>
        <w:snapToGrid w:val="0"/>
        <w:spacing w:line="360" w:lineRule="auto"/>
        <w:ind w:left="0" w:firstLine="424" w:firstLineChars="201"/>
        <w:rPr>
          <w:rFonts w:ascii="宋体" w:hAnsi="Times New Roman" w:eastAsia="宋体" w:cs="宋体"/>
          <w:b/>
          <w:kern w:val="0"/>
          <w:szCs w:val="24"/>
        </w:rPr>
      </w:pPr>
      <w:r>
        <w:rPr>
          <w:rFonts w:hint="eastAsia" w:ascii="宋体" w:hAnsi="Times New Roman" w:eastAsia="宋体" w:cs="宋体"/>
          <w:b/>
          <w:kern w:val="0"/>
          <w:szCs w:val="24"/>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widowControl/>
        <w:ind w:firstLine="422"/>
        <w:jc w:val="left"/>
        <w:rPr>
          <w:rFonts w:ascii="宋体" w:hAnsi="Times New Roman" w:eastAsia="宋体" w:cs="宋体"/>
          <w:b/>
          <w:bCs/>
          <w:kern w:val="0"/>
          <w:szCs w:val="21"/>
        </w:rPr>
      </w:pPr>
      <w:r>
        <w:rPr>
          <w:rFonts w:ascii="宋体" w:hAnsi="Times New Roman" w:eastAsia="宋体" w:cs="宋体"/>
          <w:b/>
          <w:bCs/>
          <w:kern w:val="0"/>
          <w:szCs w:val="21"/>
        </w:rPr>
        <w:br w:type="page"/>
      </w:r>
    </w:p>
    <w:p>
      <w:pPr>
        <w:keepNext/>
        <w:keepLines/>
        <w:widowControl/>
        <w:numPr>
          <w:ilvl w:val="0"/>
          <w:numId w:val="42"/>
        </w:numPr>
        <w:shd w:val="clear" w:color="auto" w:fill="FFFFFF"/>
        <w:tabs>
          <w:tab w:val="left" w:pos="426"/>
        </w:tabs>
        <w:adjustRightInd w:val="0"/>
        <w:snapToGrid w:val="0"/>
        <w:spacing w:before="280" w:after="290" w:line="376" w:lineRule="auto"/>
        <w:ind w:firstLine="0"/>
        <w:jc w:val="left"/>
        <w:outlineLvl w:val="3"/>
        <w:rPr>
          <w:rFonts w:ascii="Arial" w:hAnsi="Arial" w:eastAsia="黑体" w:cs="Times New Roman"/>
          <w:b/>
          <w:bCs/>
          <w:sz w:val="28"/>
          <w:szCs w:val="28"/>
        </w:rPr>
      </w:pPr>
      <w:bookmarkStart w:id="100" w:name="_Toc37168507"/>
      <w:bookmarkStart w:id="101" w:name="_Toc36829692"/>
      <w:bookmarkStart w:id="102" w:name="_Toc167352561"/>
      <w:bookmarkStart w:id="103" w:name="_Toc150794121"/>
      <w:r>
        <w:rPr>
          <w:rFonts w:hint="eastAsia" w:ascii="Arial" w:hAnsi="Arial" w:eastAsia="黑体" w:cs="Times New Roman"/>
          <w:b/>
          <w:bCs/>
          <w:sz w:val="28"/>
          <w:szCs w:val="28"/>
        </w:rPr>
        <w:t>、投标分项报价表</w:t>
      </w:r>
    </w:p>
    <w:p>
      <w:pPr>
        <w:spacing w:line="300" w:lineRule="auto"/>
        <w:jc w:val="center"/>
        <w:rPr>
          <w:rFonts w:ascii="宋体" w:hAnsi="Times New Roman" w:eastAsia="宋体" w:cs="Times New Roman"/>
          <w:bCs/>
          <w:sz w:val="32"/>
          <w:szCs w:val="32"/>
        </w:rPr>
      </w:pPr>
      <w:r>
        <w:rPr>
          <w:rFonts w:hint="eastAsia" w:ascii="宋体" w:hAnsi="Times New Roman" w:eastAsia="宋体" w:cs="Times New Roman"/>
          <w:bCs/>
          <w:sz w:val="32"/>
          <w:szCs w:val="32"/>
        </w:rPr>
        <w:t>投标分项报价表</w:t>
      </w:r>
    </w:p>
    <w:p>
      <w:pPr>
        <w:widowControl/>
        <w:jc w:val="center"/>
        <w:rPr>
          <w:rFonts w:ascii="宋体" w:hAnsi="宋体" w:eastAsia="宋体" w:cs="宋体"/>
          <w:b/>
          <w:kern w:val="0"/>
          <w:szCs w:val="21"/>
        </w:rPr>
      </w:pPr>
      <w:r>
        <w:rPr>
          <w:rFonts w:hint="eastAsia" w:ascii="宋体" w:hAnsi="宋体" w:eastAsia="宋体" w:cs="宋体"/>
          <w:b/>
          <w:kern w:val="0"/>
          <w:szCs w:val="21"/>
        </w:rPr>
        <w:t>采购人：深圳海关后勤管理中心（最高限价：191,400.00元）</w:t>
      </w:r>
    </w:p>
    <w:tbl>
      <w:tblPr>
        <w:tblStyle w:val="8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05"/>
        <w:gridCol w:w="968"/>
        <w:gridCol w:w="1132"/>
        <w:gridCol w:w="1991"/>
        <w:gridCol w:w="113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序号</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设备代码(后10位)</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电梯品牌</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电梯层/站</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运行地点</w:t>
            </w:r>
          </w:p>
        </w:tc>
        <w:tc>
          <w:tcPr>
            <w:tcW w:w="1132" w:type="dxa"/>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szCs w:val="21"/>
              </w:rPr>
              <w:t>最高限价(元/年</w:t>
            </w:r>
            <w:r>
              <w:rPr>
                <w:rFonts w:hint="eastAsia" w:ascii="宋体" w:hAnsi="宋体" w:eastAsia="宋体" w:cs="宋体"/>
                <w:kern w:val="0"/>
                <w:szCs w:val="21"/>
              </w:rPr>
              <w:t>）</w:t>
            </w:r>
          </w:p>
        </w:tc>
        <w:tc>
          <w:tcPr>
            <w:tcW w:w="199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szCs w:val="21"/>
              </w:rPr>
              <w:t>投标分项报价</w:t>
            </w:r>
          </w:p>
          <w:p>
            <w:pPr>
              <w:widowControl/>
              <w:tabs>
                <w:tab w:val="left" w:pos="426"/>
              </w:tabs>
              <w:jc w:val="center"/>
              <w:textAlignment w:val="center"/>
              <w:rPr>
                <w:rFonts w:ascii="宋体" w:hAnsi="宋体" w:eastAsia="宋体" w:cs="宋体"/>
                <w:szCs w:val="21"/>
              </w:rPr>
            </w:pPr>
            <w:r>
              <w:rPr>
                <w:rFonts w:hint="eastAsia" w:ascii="宋体" w:hAnsi="宋体" w:eastAsia="宋体"/>
                <w:szCs w:val="21"/>
              </w:rPr>
              <w:t>(元/年</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1994091842</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日本东芝AC-2</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vMerge w:val="restart"/>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文锦渡仓库</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1994091843</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日本东芝AC-2</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vMerge w:val="continue"/>
            <w:shd w:val="clear" w:color="auto" w:fill="FFFFFF"/>
            <w:vAlign w:val="center"/>
          </w:tcPr>
          <w:p>
            <w:pPr>
              <w:tabs>
                <w:tab w:val="left" w:pos="426"/>
              </w:tabs>
              <w:jc w:val="center"/>
              <w:rPr>
                <w:rFonts w:ascii="宋体" w:hAnsi="宋体" w:eastAsia="宋体" w:cs="宋体"/>
                <w:szCs w:val="21"/>
              </w:rPr>
            </w:pP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3</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2002030614</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上海三菱SG-VF</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2层/2站</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同乐仓库</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4</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1994124667</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上海安达PC-XPM</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3层/3站</w:t>
            </w:r>
          </w:p>
        </w:tc>
        <w:tc>
          <w:tcPr>
            <w:tcW w:w="1991" w:type="dxa"/>
            <w:vMerge w:val="restart"/>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布吉仓库</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1994124668</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上海安达PC-XPM</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3层/3站</w:t>
            </w:r>
          </w:p>
        </w:tc>
        <w:tc>
          <w:tcPr>
            <w:tcW w:w="1991" w:type="dxa"/>
            <w:vMerge w:val="continue"/>
            <w:shd w:val="clear" w:color="auto" w:fill="FFFFFF"/>
            <w:vAlign w:val="center"/>
          </w:tcPr>
          <w:p>
            <w:pPr>
              <w:tabs>
                <w:tab w:val="left" w:pos="426"/>
              </w:tabs>
              <w:jc w:val="center"/>
              <w:rPr>
                <w:rFonts w:ascii="宋体" w:hAnsi="宋体" w:eastAsia="宋体" w:cs="宋体"/>
                <w:szCs w:val="21"/>
              </w:rPr>
            </w:pP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1994104451</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迅达M-B</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vMerge w:val="restart"/>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草埔仓库</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1999071110</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日本东芝M-B</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vMerge w:val="continue"/>
            <w:shd w:val="clear" w:color="auto" w:fill="FFFFFF"/>
            <w:vAlign w:val="center"/>
          </w:tcPr>
          <w:p>
            <w:pPr>
              <w:tabs>
                <w:tab w:val="left" w:pos="426"/>
              </w:tabs>
              <w:jc w:val="center"/>
              <w:rPr>
                <w:rFonts w:ascii="宋体" w:hAnsi="宋体" w:eastAsia="宋体" w:cs="宋体"/>
                <w:szCs w:val="21"/>
              </w:rPr>
            </w:pP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w:t>
            </w:r>
          </w:p>
        </w:tc>
        <w:tc>
          <w:tcPr>
            <w:tcW w:w="1705" w:type="dxa"/>
            <w:shd w:val="clear" w:color="auto" w:fill="FFFFFF"/>
            <w:vAlign w:val="center"/>
          </w:tcPr>
          <w:p>
            <w:pPr>
              <w:tabs>
                <w:tab w:val="left" w:pos="426"/>
              </w:tabs>
              <w:jc w:val="center"/>
              <w:rPr>
                <w:rFonts w:ascii="宋体" w:hAnsi="宋体" w:eastAsia="宋体" w:cs="宋体"/>
                <w:szCs w:val="21"/>
              </w:rPr>
            </w:pP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Style w:val="1386"/>
                <w:rFonts w:hint="default"/>
                <w:color w:val="auto"/>
                <w:sz w:val="21"/>
                <w:szCs w:val="21"/>
              </w:rPr>
              <w:t>日本LF</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7层/7站</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Style w:val="1386"/>
                <w:rFonts w:hint="default"/>
                <w:color w:val="auto"/>
                <w:sz w:val="21"/>
                <w:szCs w:val="21"/>
              </w:rPr>
              <w:t>沙头角</w:t>
            </w:r>
            <w:r>
              <w:rPr>
                <w:rStyle w:val="1387"/>
                <w:rFonts w:hint="default"/>
                <w:color w:val="auto"/>
                <w:sz w:val="21"/>
                <w:szCs w:val="21"/>
              </w:rPr>
              <w:t>仓库</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Align w:val="center"/>
          </w:tcPr>
          <w:p>
            <w:pPr>
              <w:widowControl/>
              <w:tabs>
                <w:tab w:val="left" w:pos="426"/>
              </w:tabs>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9</w:t>
            </w:r>
          </w:p>
        </w:tc>
        <w:tc>
          <w:tcPr>
            <w:tcW w:w="1705" w:type="dxa"/>
            <w:shd w:val="clear" w:color="auto" w:fill="FFFFFF"/>
            <w:vAlign w:val="center"/>
          </w:tcPr>
          <w:p>
            <w:pPr>
              <w:tabs>
                <w:tab w:val="left" w:pos="426"/>
              </w:tabs>
              <w:jc w:val="center"/>
              <w:rPr>
                <w:rFonts w:ascii="宋体" w:hAnsi="宋体" w:eastAsia="宋体" w:cs="宋体"/>
                <w:szCs w:val="21"/>
              </w:rPr>
            </w:pP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美国</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传送带</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Style w:val="1386"/>
                <w:rFonts w:hint="default"/>
                <w:color w:val="auto"/>
                <w:sz w:val="21"/>
                <w:szCs w:val="21"/>
              </w:rPr>
              <w:t>罗湖</w:t>
            </w:r>
            <w:r>
              <w:rPr>
                <w:rStyle w:val="1387"/>
                <w:rFonts w:hint="default"/>
                <w:color w:val="auto"/>
                <w:sz w:val="21"/>
                <w:szCs w:val="21"/>
              </w:rPr>
              <w:t>仓库</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10</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2001072307</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三菱GPS-III</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5层/5站</w:t>
            </w:r>
          </w:p>
        </w:tc>
        <w:tc>
          <w:tcPr>
            <w:tcW w:w="1991" w:type="dxa"/>
            <w:vMerge w:val="restart"/>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深圳市罗湖区文锦南路1009号</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11</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2001072306</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三菱GPS-III</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5层/5站</w:t>
            </w:r>
          </w:p>
        </w:tc>
        <w:tc>
          <w:tcPr>
            <w:tcW w:w="1991" w:type="dxa"/>
            <w:vMerge w:val="continue"/>
            <w:shd w:val="clear" w:color="auto" w:fill="FFFFFF"/>
            <w:vAlign w:val="center"/>
          </w:tcPr>
          <w:p>
            <w:pPr>
              <w:tabs>
                <w:tab w:val="left" w:pos="426"/>
              </w:tabs>
              <w:jc w:val="center"/>
              <w:rPr>
                <w:rFonts w:ascii="宋体" w:hAnsi="宋体" w:eastAsia="宋体" w:cs="宋体"/>
                <w:szCs w:val="21"/>
              </w:rPr>
            </w:pP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12</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5202401206</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雷登TKU</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5层/5站</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深圳市盐田区盐沙路18号梅沙生活区A区</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13</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2004004599</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日立NPX</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10层/10站</w:t>
            </w:r>
          </w:p>
        </w:tc>
        <w:tc>
          <w:tcPr>
            <w:tcW w:w="1991" w:type="dxa"/>
            <w:vMerge w:val="restart"/>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深圳市宝安区新安二路142号（同乐海关办公区）</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14</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2004004600</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日立NPX</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9层/9站</w:t>
            </w:r>
          </w:p>
        </w:tc>
        <w:tc>
          <w:tcPr>
            <w:tcW w:w="1991" w:type="dxa"/>
            <w:vMerge w:val="continue"/>
            <w:shd w:val="clear" w:color="auto" w:fill="FFFFFF"/>
            <w:vAlign w:val="center"/>
          </w:tcPr>
          <w:p>
            <w:pPr>
              <w:tabs>
                <w:tab w:val="left" w:pos="426"/>
              </w:tabs>
              <w:jc w:val="center"/>
              <w:rPr>
                <w:rFonts w:ascii="宋体" w:hAnsi="宋体" w:eastAsia="宋体" w:cs="宋体"/>
                <w:szCs w:val="21"/>
              </w:rPr>
            </w:pP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15</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2010004046</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三菱GPS-III</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14层/14站</w:t>
            </w:r>
          </w:p>
        </w:tc>
        <w:tc>
          <w:tcPr>
            <w:tcW w:w="1991" w:type="dxa"/>
            <w:vMerge w:val="restart"/>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深圳市罗湖区宝岗路2号笋岗海关综合大楼（笋岗海关办公区）</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16</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2010004047</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三菱GPS-III</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14层/14站</w:t>
            </w:r>
          </w:p>
        </w:tc>
        <w:tc>
          <w:tcPr>
            <w:tcW w:w="1991" w:type="dxa"/>
            <w:vMerge w:val="continue"/>
            <w:shd w:val="clear" w:color="auto" w:fill="FFFFFF"/>
            <w:vAlign w:val="center"/>
          </w:tcPr>
          <w:p>
            <w:pPr>
              <w:tabs>
                <w:tab w:val="left" w:pos="426"/>
              </w:tabs>
              <w:jc w:val="center"/>
              <w:rPr>
                <w:rFonts w:ascii="宋体" w:hAnsi="宋体" w:eastAsia="宋体" w:cs="宋体"/>
                <w:szCs w:val="21"/>
              </w:rPr>
            </w:pP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17</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2020032684</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恒达富士FHND</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深圳市罗湖区北站路笋岗海关综合大楼（笋岗海关办公区）</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7800.00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18</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2010004591</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三菱LEHY-II</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5层/5站</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深圳市盐田区沙头角街道深沙路沙头角口岸检验检疫局监控楼（沙头角海关办公区）</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7200.00</w:t>
            </w:r>
          </w:p>
        </w:tc>
        <w:tc>
          <w:tcPr>
            <w:tcW w:w="1992" w:type="dxa"/>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19</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2000020267</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三菱GPS-3</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8层/8站</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深圳市盐田区深沙路79号沙头角海关（沙头角海关办公区）</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w:t>
            </w:r>
          </w:p>
        </w:tc>
        <w:tc>
          <w:tcPr>
            <w:tcW w:w="1705"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2000030288</w:t>
            </w: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三菱GPS-3</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7层/7站</w:t>
            </w:r>
          </w:p>
        </w:tc>
        <w:tc>
          <w:tcPr>
            <w:tcW w:w="1991"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深圳市盐田区沙头角动植物检疫大楼（沙头角海关办公区）</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noWrap/>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21</w:t>
            </w:r>
          </w:p>
        </w:tc>
        <w:tc>
          <w:tcPr>
            <w:tcW w:w="1705" w:type="dxa"/>
            <w:shd w:val="clear" w:color="auto" w:fill="FFFFFF"/>
            <w:vAlign w:val="center"/>
          </w:tcPr>
          <w:p>
            <w:pPr>
              <w:tabs>
                <w:tab w:val="left" w:pos="426"/>
              </w:tabs>
              <w:jc w:val="center"/>
              <w:rPr>
                <w:rFonts w:ascii="宋体" w:hAnsi="宋体" w:eastAsia="宋体" w:cs="宋体"/>
                <w:szCs w:val="21"/>
              </w:rPr>
            </w:pP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Style w:val="1388"/>
                <w:rFonts w:hint="default"/>
                <w:color w:val="auto"/>
                <w:sz w:val="21"/>
                <w:szCs w:val="21"/>
              </w:rPr>
              <w:t>日立L</w:t>
            </w:r>
            <w:r>
              <w:rPr>
                <w:rStyle w:val="1387"/>
                <w:rFonts w:hint="default"/>
                <w:color w:val="auto"/>
                <w:sz w:val="21"/>
                <w:szCs w:val="21"/>
              </w:rPr>
              <w:t>GE</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6层/6站</w:t>
            </w:r>
          </w:p>
        </w:tc>
        <w:tc>
          <w:tcPr>
            <w:tcW w:w="1991"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深圳市盐田区沙头角海关综合楼</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Align w:val="center"/>
          </w:tcPr>
          <w:p>
            <w:pPr>
              <w:widowControl/>
              <w:tabs>
                <w:tab w:val="left" w:pos="426"/>
              </w:tabs>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22</w:t>
            </w:r>
          </w:p>
        </w:tc>
        <w:tc>
          <w:tcPr>
            <w:tcW w:w="1705" w:type="dxa"/>
            <w:shd w:val="clear" w:color="auto" w:fill="FFFFFF"/>
            <w:vAlign w:val="center"/>
          </w:tcPr>
          <w:p>
            <w:pPr>
              <w:tabs>
                <w:tab w:val="left" w:pos="426"/>
              </w:tabs>
              <w:jc w:val="center"/>
              <w:rPr>
                <w:rFonts w:ascii="宋体" w:hAnsi="宋体" w:eastAsia="宋体" w:cs="宋体"/>
                <w:szCs w:val="21"/>
              </w:rPr>
            </w:pP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Style w:val="1388"/>
                <w:rFonts w:hint="default"/>
                <w:color w:val="auto"/>
                <w:sz w:val="21"/>
                <w:szCs w:val="21"/>
              </w:rPr>
              <w:t>日立L</w:t>
            </w:r>
            <w:r>
              <w:rPr>
                <w:rStyle w:val="1387"/>
                <w:rFonts w:hint="default"/>
                <w:color w:val="auto"/>
                <w:sz w:val="21"/>
                <w:szCs w:val="21"/>
              </w:rPr>
              <w:t>GE</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3层/3站</w:t>
            </w:r>
          </w:p>
        </w:tc>
        <w:tc>
          <w:tcPr>
            <w:tcW w:w="1991"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深圳市盐田区沙头角园林路办公区食堂楼</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78"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23</w:t>
            </w:r>
          </w:p>
        </w:tc>
        <w:tc>
          <w:tcPr>
            <w:tcW w:w="1705" w:type="dxa"/>
            <w:shd w:val="clear" w:color="auto" w:fill="FFFFFF"/>
            <w:vAlign w:val="center"/>
          </w:tcPr>
          <w:p>
            <w:pPr>
              <w:tabs>
                <w:tab w:val="left" w:pos="426"/>
              </w:tabs>
              <w:jc w:val="center"/>
              <w:rPr>
                <w:rFonts w:ascii="宋体" w:hAnsi="宋体" w:eastAsia="宋体" w:cs="宋体"/>
                <w:szCs w:val="21"/>
              </w:rPr>
            </w:pPr>
          </w:p>
        </w:tc>
        <w:tc>
          <w:tcPr>
            <w:tcW w:w="968" w:type="dxa"/>
            <w:shd w:val="clear" w:color="auto" w:fill="FFFFFF"/>
            <w:vAlign w:val="center"/>
          </w:tcPr>
          <w:p>
            <w:pPr>
              <w:widowControl/>
              <w:tabs>
                <w:tab w:val="left" w:pos="426"/>
              </w:tabs>
              <w:jc w:val="center"/>
              <w:textAlignment w:val="center"/>
              <w:rPr>
                <w:rFonts w:ascii="宋体" w:hAnsi="宋体" w:eastAsia="宋体" w:cs="宋体"/>
                <w:szCs w:val="21"/>
              </w:rPr>
            </w:pPr>
            <w:r>
              <w:rPr>
                <w:rStyle w:val="1388"/>
                <w:rFonts w:hint="default"/>
                <w:color w:val="auto"/>
                <w:sz w:val="21"/>
                <w:szCs w:val="21"/>
              </w:rPr>
              <w:t>法布F</w:t>
            </w:r>
            <w:r>
              <w:rPr>
                <w:rStyle w:val="1387"/>
                <w:rFonts w:hint="default"/>
                <w:color w:val="auto"/>
                <w:sz w:val="21"/>
                <w:szCs w:val="21"/>
              </w:rPr>
              <w:t>B-300</w:t>
            </w:r>
          </w:p>
        </w:tc>
        <w:tc>
          <w:tcPr>
            <w:tcW w:w="1132" w:type="dxa"/>
            <w:shd w:val="clear" w:color="auto" w:fill="FFFFFF"/>
            <w:vAlign w:val="center"/>
          </w:tcPr>
          <w:p>
            <w:pPr>
              <w:widowControl/>
              <w:tabs>
                <w:tab w:val="left" w:pos="426"/>
              </w:tabs>
              <w:jc w:val="center"/>
              <w:textAlignment w:val="center"/>
              <w:rPr>
                <w:rFonts w:ascii="宋体" w:hAnsi="宋体" w:eastAsia="宋体" w:cs="宋体"/>
                <w:szCs w:val="21"/>
              </w:rPr>
            </w:pPr>
            <w:r>
              <w:rPr>
                <w:rStyle w:val="1388"/>
                <w:rFonts w:hint="default"/>
                <w:color w:val="auto"/>
                <w:sz w:val="21"/>
                <w:szCs w:val="21"/>
              </w:rPr>
              <w:t>3层/</w:t>
            </w:r>
            <w:r>
              <w:rPr>
                <w:rStyle w:val="1387"/>
                <w:rFonts w:hint="default"/>
                <w:color w:val="auto"/>
                <w:sz w:val="21"/>
                <w:szCs w:val="21"/>
              </w:rPr>
              <w:t>3站</w:t>
            </w:r>
          </w:p>
        </w:tc>
        <w:tc>
          <w:tcPr>
            <w:tcW w:w="1991"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深圳市盐田区沙头角园林路办公区食堂楼</w:t>
            </w:r>
          </w:p>
        </w:tc>
        <w:tc>
          <w:tcPr>
            <w:tcW w:w="1132" w:type="dxa"/>
            <w:noWrap/>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kern w:val="0"/>
                <w:szCs w:val="21"/>
              </w:rPr>
              <w:t>8400.00</w:t>
            </w:r>
          </w:p>
        </w:tc>
        <w:tc>
          <w:tcPr>
            <w:tcW w:w="1992" w:type="dxa"/>
            <w:vAlign w:val="center"/>
          </w:tcPr>
          <w:p>
            <w:pPr>
              <w:tabs>
                <w:tab w:val="left" w:pos="426"/>
              </w:tabs>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374" w:type="dxa"/>
            <w:gridSpan w:val="5"/>
            <w:shd w:val="clear" w:color="auto" w:fill="FFFFFF"/>
            <w:vAlign w:val="center"/>
          </w:tcPr>
          <w:p>
            <w:pPr>
              <w:widowControl/>
              <w:tabs>
                <w:tab w:val="left" w:pos="426"/>
              </w:tabs>
              <w:jc w:val="center"/>
              <w:textAlignment w:val="center"/>
              <w:rPr>
                <w:rFonts w:ascii="宋体" w:hAnsi="宋体" w:eastAsia="宋体" w:cs="宋体"/>
                <w:kern w:val="0"/>
                <w:szCs w:val="21"/>
              </w:rPr>
            </w:pPr>
            <w:r>
              <w:rPr>
                <w:rFonts w:hint="eastAsia" w:ascii="宋体" w:hAnsi="宋体" w:eastAsia="宋体" w:cs="宋体"/>
                <w:kern w:val="0"/>
                <w:szCs w:val="21"/>
              </w:rPr>
              <w:t>小计（一）</w:t>
            </w:r>
          </w:p>
        </w:tc>
        <w:tc>
          <w:tcPr>
            <w:tcW w:w="1132" w:type="dxa"/>
            <w:noWrap/>
            <w:vAlign w:val="center"/>
          </w:tcPr>
          <w:p>
            <w:pPr>
              <w:widowControl/>
              <w:tabs>
                <w:tab w:val="left" w:pos="426"/>
              </w:tabs>
              <w:jc w:val="center"/>
              <w:textAlignment w:val="center"/>
              <w:rPr>
                <w:rFonts w:ascii="宋体" w:hAnsi="宋体" w:eastAsia="宋体" w:cs="宋体"/>
                <w:kern w:val="0"/>
                <w:szCs w:val="21"/>
              </w:rPr>
            </w:pPr>
          </w:p>
        </w:tc>
        <w:tc>
          <w:tcPr>
            <w:tcW w:w="1992" w:type="dxa"/>
            <w:vAlign w:val="center"/>
          </w:tcPr>
          <w:p>
            <w:pPr>
              <w:tabs>
                <w:tab w:val="left" w:pos="426"/>
              </w:tabs>
              <w:jc w:val="center"/>
              <w:rPr>
                <w:rFonts w:ascii="宋体" w:hAnsi="宋体" w:eastAsia="宋体" w:cs="宋体"/>
                <w:szCs w:val="21"/>
              </w:rPr>
            </w:pPr>
          </w:p>
        </w:tc>
      </w:tr>
    </w:tbl>
    <w:p>
      <w:pPr>
        <w:widowControl/>
        <w:jc w:val="center"/>
        <w:rPr>
          <w:rFonts w:ascii="宋体" w:hAnsi="宋体" w:eastAsia="宋体" w:cs="宋体"/>
          <w:b/>
          <w:kern w:val="0"/>
          <w:szCs w:val="21"/>
        </w:rPr>
      </w:pPr>
      <w:r>
        <w:rPr>
          <w:rFonts w:hint="eastAsia" w:ascii="宋体" w:hAnsi="宋体" w:eastAsia="宋体" w:cs="宋体"/>
          <w:b/>
          <w:kern w:val="0"/>
          <w:szCs w:val="21"/>
        </w:rPr>
        <w:t>采购人：深圳市深海悦物业管理服务有限公司（最高限价：16,800.00元）</w:t>
      </w:r>
    </w:p>
    <w:tbl>
      <w:tblPr>
        <w:tblStyle w:val="86"/>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316"/>
        <w:gridCol w:w="896"/>
        <w:gridCol w:w="1001"/>
        <w:gridCol w:w="1878"/>
        <w:gridCol w:w="1017"/>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 w:type="pct"/>
            <w:shd w:val="clear" w:color="000000" w:fill="FFFFFF"/>
            <w:vAlign w:val="center"/>
          </w:tcPr>
          <w:p>
            <w:pPr>
              <w:jc w:val="center"/>
              <w:rPr>
                <w:rFonts w:ascii="宋体" w:hAnsi="宋体" w:eastAsia="宋体"/>
                <w:szCs w:val="21"/>
              </w:rPr>
            </w:pPr>
            <w:r>
              <w:rPr>
                <w:rFonts w:hint="eastAsia" w:ascii="宋体" w:hAnsi="宋体" w:eastAsia="宋体"/>
                <w:szCs w:val="21"/>
              </w:rPr>
              <w:t>序号</w:t>
            </w:r>
          </w:p>
        </w:tc>
        <w:tc>
          <w:tcPr>
            <w:tcW w:w="1218" w:type="pct"/>
            <w:shd w:val="clear" w:color="000000" w:fill="FFFFFF"/>
            <w:vAlign w:val="center"/>
          </w:tcPr>
          <w:p>
            <w:pPr>
              <w:jc w:val="center"/>
              <w:rPr>
                <w:rFonts w:ascii="宋体" w:hAnsi="宋体" w:eastAsia="宋体"/>
                <w:szCs w:val="21"/>
              </w:rPr>
            </w:pPr>
            <w:r>
              <w:rPr>
                <w:rFonts w:hint="eastAsia" w:ascii="宋体" w:hAnsi="宋体" w:eastAsia="宋体"/>
                <w:szCs w:val="21"/>
              </w:rPr>
              <w:t>设备代码</w:t>
            </w:r>
          </w:p>
        </w:tc>
        <w:tc>
          <w:tcPr>
            <w:tcW w:w="471" w:type="pct"/>
            <w:shd w:val="clear" w:color="000000" w:fill="FFFFFF"/>
            <w:vAlign w:val="center"/>
          </w:tcPr>
          <w:p>
            <w:pPr>
              <w:jc w:val="center"/>
              <w:rPr>
                <w:rFonts w:ascii="宋体" w:hAnsi="宋体" w:eastAsia="宋体"/>
                <w:szCs w:val="21"/>
              </w:rPr>
            </w:pPr>
            <w:r>
              <w:rPr>
                <w:rFonts w:hint="eastAsia" w:ascii="宋体" w:hAnsi="宋体" w:eastAsia="宋体"/>
                <w:szCs w:val="21"/>
              </w:rPr>
              <w:t>电梯品牌</w:t>
            </w:r>
          </w:p>
        </w:tc>
        <w:tc>
          <w:tcPr>
            <w:tcW w:w="526" w:type="pct"/>
            <w:shd w:val="clear" w:color="000000" w:fill="FFFFFF"/>
            <w:vAlign w:val="center"/>
          </w:tcPr>
          <w:p>
            <w:pPr>
              <w:jc w:val="center"/>
              <w:rPr>
                <w:rFonts w:ascii="宋体" w:hAnsi="宋体" w:eastAsia="宋体"/>
                <w:szCs w:val="21"/>
              </w:rPr>
            </w:pPr>
            <w:r>
              <w:rPr>
                <w:rFonts w:hint="eastAsia" w:ascii="宋体" w:hAnsi="宋体" w:eastAsia="宋体"/>
                <w:szCs w:val="21"/>
              </w:rPr>
              <w:t>电梯层/站</w:t>
            </w:r>
          </w:p>
        </w:tc>
        <w:tc>
          <w:tcPr>
            <w:tcW w:w="986" w:type="pct"/>
            <w:shd w:val="clear" w:color="000000" w:fill="FFFFFF"/>
            <w:vAlign w:val="center"/>
          </w:tcPr>
          <w:p>
            <w:pPr>
              <w:jc w:val="center"/>
              <w:rPr>
                <w:rFonts w:ascii="宋体" w:hAnsi="宋体" w:eastAsia="宋体"/>
                <w:szCs w:val="21"/>
              </w:rPr>
            </w:pPr>
            <w:r>
              <w:rPr>
                <w:rFonts w:hint="eastAsia" w:ascii="宋体" w:hAnsi="宋体" w:eastAsia="宋体"/>
                <w:szCs w:val="21"/>
              </w:rPr>
              <w:t>运行地点</w:t>
            </w:r>
          </w:p>
        </w:tc>
        <w:tc>
          <w:tcPr>
            <w:tcW w:w="535" w:type="pct"/>
            <w:shd w:val="clear" w:color="000000" w:fill="FFFFFF"/>
            <w:vAlign w:val="center"/>
          </w:tcPr>
          <w:p>
            <w:pPr>
              <w:jc w:val="center"/>
              <w:rPr>
                <w:rFonts w:ascii="宋体" w:hAnsi="宋体" w:eastAsia="宋体"/>
                <w:szCs w:val="21"/>
              </w:rPr>
            </w:pPr>
            <w:r>
              <w:rPr>
                <w:rFonts w:hint="eastAsia" w:ascii="宋体" w:hAnsi="宋体" w:eastAsia="宋体"/>
                <w:szCs w:val="21"/>
              </w:rPr>
              <w:t>最高限价(元/年）</w:t>
            </w:r>
          </w:p>
        </w:tc>
        <w:tc>
          <w:tcPr>
            <w:tcW w:w="987" w:type="pct"/>
            <w:shd w:val="clear" w:color="000000"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szCs w:val="21"/>
              </w:rPr>
              <w:t>投标分项报价</w:t>
            </w:r>
          </w:p>
          <w:p>
            <w:pPr>
              <w:jc w:val="center"/>
              <w:rPr>
                <w:rFonts w:ascii="宋体" w:hAnsi="宋体" w:eastAsia="宋体"/>
                <w:szCs w:val="21"/>
              </w:rPr>
            </w:pPr>
            <w:r>
              <w:rPr>
                <w:rFonts w:hint="eastAsia" w:ascii="宋体" w:hAnsi="宋体" w:eastAsia="宋体"/>
                <w:szCs w:val="21"/>
              </w:rPr>
              <w:t>(元/年</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3" w:type="pct"/>
            <w:shd w:val="clear" w:color="000000" w:fill="FFFFFF"/>
            <w:vAlign w:val="center"/>
          </w:tcPr>
          <w:p>
            <w:pPr>
              <w:jc w:val="center"/>
              <w:rPr>
                <w:rFonts w:ascii="宋体" w:hAnsi="宋体" w:eastAsia="宋体"/>
                <w:szCs w:val="21"/>
              </w:rPr>
            </w:pPr>
            <w:r>
              <w:rPr>
                <w:rFonts w:hint="eastAsia" w:ascii="宋体" w:hAnsi="宋体" w:eastAsia="宋体"/>
                <w:szCs w:val="21"/>
              </w:rPr>
              <w:t>1</w:t>
            </w:r>
          </w:p>
        </w:tc>
        <w:tc>
          <w:tcPr>
            <w:tcW w:w="1218" w:type="pct"/>
            <w:shd w:val="clear" w:color="000000" w:fill="FFFFFF"/>
            <w:vAlign w:val="center"/>
          </w:tcPr>
          <w:p>
            <w:pPr>
              <w:jc w:val="center"/>
              <w:rPr>
                <w:rFonts w:ascii="宋体" w:hAnsi="宋体" w:eastAsia="宋体"/>
                <w:szCs w:val="21"/>
              </w:rPr>
            </w:pPr>
            <w:r>
              <w:rPr>
                <w:rFonts w:hint="eastAsia" w:ascii="宋体" w:hAnsi="宋体" w:eastAsia="宋体"/>
                <w:szCs w:val="21"/>
              </w:rPr>
              <w:t>30104403001999060859</w:t>
            </w:r>
          </w:p>
        </w:tc>
        <w:tc>
          <w:tcPr>
            <w:tcW w:w="471" w:type="pct"/>
            <w:shd w:val="clear" w:color="000000" w:fill="FFFFFF"/>
            <w:vAlign w:val="center"/>
          </w:tcPr>
          <w:p>
            <w:pPr>
              <w:jc w:val="center"/>
              <w:rPr>
                <w:rFonts w:ascii="宋体" w:hAnsi="宋体" w:eastAsia="宋体"/>
                <w:szCs w:val="21"/>
              </w:rPr>
            </w:pPr>
            <w:r>
              <w:rPr>
                <w:rFonts w:hint="eastAsia" w:ascii="宋体" w:hAnsi="宋体" w:eastAsia="宋体"/>
                <w:szCs w:val="21"/>
              </w:rPr>
              <w:t>三菱GPS-III</w:t>
            </w:r>
          </w:p>
        </w:tc>
        <w:tc>
          <w:tcPr>
            <w:tcW w:w="526" w:type="pct"/>
            <w:shd w:val="clear" w:color="000000" w:fill="FFFFFF"/>
            <w:vAlign w:val="center"/>
          </w:tcPr>
          <w:p>
            <w:pPr>
              <w:jc w:val="center"/>
              <w:rPr>
                <w:rFonts w:ascii="宋体" w:hAnsi="宋体" w:eastAsia="宋体"/>
                <w:szCs w:val="21"/>
              </w:rPr>
            </w:pPr>
            <w:r>
              <w:rPr>
                <w:rFonts w:ascii="宋体" w:hAnsi="宋体" w:eastAsia="宋体"/>
                <w:szCs w:val="21"/>
              </w:rPr>
              <w:t>10</w:t>
            </w:r>
            <w:r>
              <w:rPr>
                <w:rFonts w:hint="eastAsia" w:ascii="宋体" w:hAnsi="宋体" w:eastAsia="宋体"/>
                <w:szCs w:val="21"/>
              </w:rPr>
              <w:t>层/10站</w:t>
            </w:r>
          </w:p>
        </w:tc>
        <w:tc>
          <w:tcPr>
            <w:tcW w:w="986" w:type="pct"/>
            <w:vMerge w:val="restart"/>
            <w:shd w:val="clear" w:color="000000" w:fill="FFFFFF"/>
            <w:vAlign w:val="center"/>
          </w:tcPr>
          <w:p>
            <w:pPr>
              <w:jc w:val="center"/>
              <w:rPr>
                <w:rFonts w:ascii="宋体" w:hAnsi="宋体" w:eastAsia="宋体"/>
                <w:szCs w:val="21"/>
              </w:rPr>
            </w:pPr>
            <w:r>
              <w:rPr>
                <w:rFonts w:hint="eastAsia" w:ascii="宋体" w:hAnsi="宋体" w:eastAsia="宋体"/>
                <w:szCs w:val="21"/>
              </w:rPr>
              <w:t>深圳市罗湖区和平路1087号（深圳海关缉私局办公区）</w:t>
            </w:r>
          </w:p>
        </w:tc>
        <w:tc>
          <w:tcPr>
            <w:tcW w:w="535" w:type="pct"/>
            <w:shd w:val="clear" w:color="000000" w:fill="FFFFFF"/>
            <w:vAlign w:val="center"/>
          </w:tcPr>
          <w:p>
            <w:pPr>
              <w:jc w:val="center"/>
              <w:rPr>
                <w:rFonts w:ascii="宋体" w:hAnsi="宋体" w:eastAsia="宋体"/>
                <w:szCs w:val="21"/>
              </w:rPr>
            </w:pPr>
            <w:r>
              <w:rPr>
                <w:rFonts w:hint="eastAsia" w:ascii="宋体" w:hAnsi="宋体" w:eastAsia="宋体"/>
                <w:szCs w:val="21"/>
              </w:rPr>
              <w:t>8400</w:t>
            </w:r>
            <w:r>
              <w:rPr>
                <w:rFonts w:hint="eastAsia" w:ascii="宋体" w:hAnsi="宋体" w:eastAsia="宋体" w:cs="宋体"/>
                <w:kern w:val="0"/>
                <w:szCs w:val="21"/>
              </w:rPr>
              <w:t>.00</w:t>
            </w:r>
          </w:p>
        </w:tc>
        <w:tc>
          <w:tcPr>
            <w:tcW w:w="987" w:type="pct"/>
            <w:shd w:val="clear" w:color="000000" w:fill="FFFFFF"/>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3" w:type="pct"/>
            <w:shd w:val="clear" w:color="000000" w:fill="FFFFFF"/>
            <w:vAlign w:val="center"/>
          </w:tcPr>
          <w:p>
            <w:pPr>
              <w:jc w:val="center"/>
              <w:rPr>
                <w:rFonts w:ascii="宋体" w:hAnsi="宋体" w:eastAsia="宋体"/>
                <w:szCs w:val="21"/>
              </w:rPr>
            </w:pPr>
            <w:r>
              <w:rPr>
                <w:rFonts w:hint="eastAsia" w:ascii="宋体" w:hAnsi="宋体" w:eastAsia="宋体"/>
                <w:szCs w:val="21"/>
              </w:rPr>
              <w:t>2</w:t>
            </w:r>
          </w:p>
        </w:tc>
        <w:tc>
          <w:tcPr>
            <w:tcW w:w="1218" w:type="pct"/>
            <w:shd w:val="clear" w:color="000000" w:fill="FFFFFF"/>
            <w:vAlign w:val="center"/>
          </w:tcPr>
          <w:p>
            <w:pPr>
              <w:jc w:val="center"/>
              <w:rPr>
                <w:rFonts w:ascii="宋体" w:hAnsi="宋体" w:eastAsia="宋体"/>
                <w:szCs w:val="21"/>
              </w:rPr>
            </w:pPr>
            <w:r>
              <w:rPr>
                <w:rFonts w:hint="eastAsia" w:ascii="宋体" w:hAnsi="宋体" w:eastAsia="宋体"/>
                <w:szCs w:val="21"/>
              </w:rPr>
              <w:t>30104403001999060860</w:t>
            </w:r>
          </w:p>
        </w:tc>
        <w:tc>
          <w:tcPr>
            <w:tcW w:w="471" w:type="pct"/>
            <w:shd w:val="clear" w:color="000000" w:fill="FFFFFF"/>
            <w:vAlign w:val="center"/>
          </w:tcPr>
          <w:p>
            <w:pPr>
              <w:jc w:val="center"/>
              <w:rPr>
                <w:rFonts w:ascii="宋体" w:hAnsi="宋体" w:eastAsia="宋体"/>
                <w:szCs w:val="21"/>
              </w:rPr>
            </w:pPr>
            <w:r>
              <w:rPr>
                <w:rFonts w:hint="eastAsia" w:ascii="宋体" w:hAnsi="宋体" w:eastAsia="宋体"/>
                <w:szCs w:val="21"/>
              </w:rPr>
              <w:t>三菱GPS-III</w:t>
            </w:r>
          </w:p>
        </w:tc>
        <w:tc>
          <w:tcPr>
            <w:tcW w:w="526" w:type="pct"/>
            <w:shd w:val="clear" w:color="000000" w:fill="FFFFFF"/>
            <w:vAlign w:val="center"/>
          </w:tcPr>
          <w:p>
            <w:pPr>
              <w:jc w:val="center"/>
              <w:rPr>
                <w:rFonts w:ascii="宋体" w:hAnsi="宋体" w:eastAsia="宋体"/>
                <w:szCs w:val="21"/>
              </w:rPr>
            </w:pPr>
            <w:r>
              <w:rPr>
                <w:rFonts w:ascii="宋体" w:hAnsi="宋体" w:eastAsia="宋体"/>
                <w:szCs w:val="21"/>
              </w:rPr>
              <w:t>10</w:t>
            </w:r>
            <w:r>
              <w:rPr>
                <w:rFonts w:hint="eastAsia" w:ascii="宋体" w:hAnsi="宋体" w:eastAsia="宋体"/>
                <w:szCs w:val="21"/>
              </w:rPr>
              <w:t>层/10站</w:t>
            </w:r>
          </w:p>
        </w:tc>
        <w:tc>
          <w:tcPr>
            <w:tcW w:w="986" w:type="pct"/>
            <w:vMerge w:val="continue"/>
            <w:vAlign w:val="center"/>
          </w:tcPr>
          <w:p>
            <w:pPr>
              <w:jc w:val="center"/>
              <w:rPr>
                <w:rFonts w:ascii="宋体" w:hAnsi="宋体" w:eastAsia="宋体"/>
                <w:szCs w:val="21"/>
              </w:rPr>
            </w:pPr>
          </w:p>
        </w:tc>
        <w:tc>
          <w:tcPr>
            <w:tcW w:w="535" w:type="pct"/>
            <w:vAlign w:val="center"/>
          </w:tcPr>
          <w:p>
            <w:pPr>
              <w:jc w:val="center"/>
              <w:rPr>
                <w:rFonts w:ascii="宋体" w:hAnsi="宋体" w:eastAsia="宋体"/>
                <w:szCs w:val="21"/>
              </w:rPr>
            </w:pPr>
            <w:r>
              <w:rPr>
                <w:rFonts w:hint="eastAsia" w:ascii="宋体" w:hAnsi="宋体" w:eastAsia="宋体"/>
                <w:szCs w:val="21"/>
              </w:rPr>
              <w:t>8400</w:t>
            </w:r>
            <w:r>
              <w:rPr>
                <w:rFonts w:hint="eastAsia" w:ascii="宋体" w:hAnsi="宋体" w:eastAsia="宋体" w:cs="宋体"/>
                <w:kern w:val="0"/>
                <w:szCs w:val="21"/>
              </w:rPr>
              <w:t>.00</w:t>
            </w:r>
          </w:p>
        </w:tc>
        <w:tc>
          <w:tcPr>
            <w:tcW w:w="987"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76" w:type="pct"/>
            <w:gridSpan w:val="5"/>
            <w:shd w:val="clear" w:color="000000" w:fill="FFFFFF"/>
            <w:vAlign w:val="center"/>
          </w:tcPr>
          <w:p>
            <w:pPr>
              <w:jc w:val="center"/>
              <w:rPr>
                <w:rFonts w:ascii="宋体" w:hAnsi="宋体" w:eastAsia="宋体"/>
                <w:szCs w:val="21"/>
              </w:rPr>
            </w:pPr>
            <w:r>
              <w:rPr>
                <w:rFonts w:hint="eastAsia" w:ascii="宋体" w:hAnsi="宋体" w:eastAsia="宋体"/>
                <w:szCs w:val="21"/>
              </w:rPr>
              <w:t>小计</w:t>
            </w:r>
            <w:r>
              <w:rPr>
                <w:rFonts w:hint="eastAsia" w:ascii="宋体" w:hAnsi="宋体" w:eastAsia="宋体" w:cs="宋体"/>
                <w:kern w:val="0"/>
                <w:szCs w:val="21"/>
              </w:rPr>
              <w:t>（二）</w:t>
            </w:r>
          </w:p>
        </w:tc>
        <w:tc>
          <w:tcPr>
            <w:tcW w:w="535" w:type="pct"/>
            <w:vAlign w:val="center"/>
          </w:tcPr>
          <w:p>
            <w:pPr>
              <w:jc w:val="center"/>
              <w:rPr>
                <w:rFonts w:ascii="宋体" w:hAnsi="宋体" w:eastAsia="宋体"/>
                <w:szCs w:val="21"/>
              </w:rPr>
            </w:pPr>
          </w:p>
        </w:tc>
        <w:tc>
          <w:tcPr>
            <w:tcW w:w="987" w:type="pct"/>
            <w:vAlign w:val="center"/>
          </w:tcPr>
          <w:p>
            <w:pPr>
              <w:jc w:val="center"/>
              <w:rPr>
                <w:rFonts w:ascii="宋体" w:hAnsi="宋体" w:eastAsia="宋体"/>
                <w:szCs w:val="21"/>
              </w:rPr>
            </w:pPr>
          </w:p>
        </w:tc>
      </w:tr>
    </w:tbl>
    <w:p>
      <w:pPr>
        <w:widowControl/>
        <w:jc w:val="center"/>
        <w:rPr>
          <w:rFonts w:ascii="宋体" w:hAnsi="宋体" w:eastAsia="宋体" w:cs="宋体"/>
          <w:b/>
          <w:kern w:val="0"/>
          <w:szCs w:val="21"/>
        </w:rPr>
      </w:pPr>
      <w:r>
        <w:rPr>
          <w:rFonts w:hint="eastAsia" w:ascii="宋体" w:hAnsi="宋体" w:eastAsia="宋体" w:cs="宋体"/>
          <w:b/>
          <w:kern w:val="0"/>
          <w:szCs w:val="21"/>
        </w:rPr>
        <w:t>采购人：深圳市鹏检物业管理有限公司（最高限价：252,000.00元）</w:t>
      </w:r>
    </w:p>
    <w:tbl>
      <w:tblPr>
        <w:tblStyle w:val="8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719"/>
        <w:gridCol w:w="1056"/>
        <w:gridCol w:w="1102"/>
        <w:gridCol w:w="1927"/>
        <w:gridCol w:w="1120"/>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序号</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设备代码(后10位)</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电梯品牌</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电梯层/站</w:t>
            </w:r>
          </w:p>
        </w:tc>
        <w:tc>
          <w:tcPr>
            <w:tcW w:w="1927"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运行地点</w:t>
            </w:r>
          </w:p>
        </w:tc>
        <w:tc>
          <w:tcPr>
            <w:tcW w:w="1120" w:type="dxa"/>
            <w:shd w:val="clear" w:color="auto" w:fill="FFFFFF"/>
            <w:vAlign w:val="center"/>
          </w:tcPr>
          <w:p>
            <w:pPr>
              <w:jc w:val="center"/>
              <w:textAlignment w:val="center"/>
              <w:rPr>
                <w:rFonts w:ascii="宋体" w:hAnsi="宋体" w:eastAsia="宋体"/>
                <w:bCs/>
                <w:szCs w:val="21"/>
              </w:rPr>
            </w:pPr>
            <w:r>
              <w:rPr>
                <w:rFonts w:hint="eastAsia" w:ascii="宋体" w:hAnsi="宋体" w:eastAsia="宋体"/>
                <w:bCs/>
                <w:szCs w:val="21"/>
              </w:rPr>
              <w:t>最高限价(元/年)</w:t>
            </w:r>
          </w:p>
        </w:tc>
        <w:tc>
          <w:tcPr>
            <w:tcW w:w="1957" w:type="dxa"/>
            <w:shd w:val="clear" w:color="auto" w:fill="FFFFFF"/>
            <w:vAlign w:val="center"/>
          </w:tcPr>
          <w:p>
            <w:pPr>
              <w:widowControl/>
              <w:tabs>
                <w:tab w:val="left" w:pos="426"/>
              </w:tabs>
              <w:jc w:val="center"/>
              <w:textAlignment w:val="center"/>
              <w:rPr>
                <w:rFonts w:ascii="宋体" w:hAnsi="宋体" w:eastAsia="宋体" w:cs="宋体"/>
                <w:szCs w:val="21"/>
              </w:rPr>
            </w:pPr>
            <w:r>
              <w:rPr>
                <w:rFonts w:hint="eastAsia" w:ascii="宋体" w:hAnsi="宋体" w:eastAsia="宋体" w:cs="宋体"/>
                <w:szCs w:val="21"/>
              </w:rPr>
              <w:t>投标分项报价</w:t>
            </w:r>
          </w:p>
          <w:p>
            <w:pPr>
              <w:jc w:val="center"/>
              <w:textAlignment w:val="center"/>
              <w:rPr>
                <w:rFonts w:ascii="宋体" w:hAnsi="宋体" w:eastAsia="宋体"/>
                <w:szCs w:val="21"/>
              </w:rPr>
            </w:pPr>
            <w:r>
              <w:rPr>
                <w:rFonts w:hint="eastAsia" w:ascii="宋体" w:hAnsi="宋体" w:eastAsia="宋体"/>
                <w:szCs w:val="21"/>
              </w:rPr>
              <w:t>(元/年</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2010000648</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三菱LEHY-II</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7层/7站</w:t>
            </w:r>
          </w:p>
        </w:tc>
        <w:tc>
          <w:tcPr>
            <w:tcW w:w="1927"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深圳市盐田区沙头角海景二路1008号（工业品中心办公区）</w:t>
            </w: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8400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2010000649</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三菱LEHY-II</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8层/8站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8400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1998071115</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三菱GPS-II</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15层/15站</w:t>
            </w:r>
          </w:p>
        </w:tc>
        <w:tc>
          <w:tcPr>
            <w:tcW w:w="1927"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深圳市南山区蛇口工业八路289号（工业品中心办公区）</w:t>
            </w: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9000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4</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1998071116</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三菱GPS-II</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15层/15站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9000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5</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2013004769</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天奥电梯</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2层/2站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7200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6</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2003008425</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新力TWJ250</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4层/4站</w:t>
            </w:r>
          </w:p>
        </w:tc>
        <w:tc>
          <w:tcPr>
            <w:tcW w:w="1927"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深圳市南山区蛇口工业七路149号（工业品中心办公区）</w:t>
            </w: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8400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7</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2007009330</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三菱Nexway-s</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27"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深圳市福田区福强路1011号深圳海关福强路办公区A栋（福强路办公区）</w:t>
            </w: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8</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2007009328</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三菱Nexway-s</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9</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2007009329</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三菱Nexway-s</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2007009331</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33层/20站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11</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2007009332</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33层/20站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12</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2007009333</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33层/20站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2007009327</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34层/21站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14</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2008000807</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33层/33站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15</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2008000808</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三菱Nexway</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33层/33站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13200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16</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1994105905</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日立YPVF</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27" w:type="dxa"/>
            <w:vMerge w:val="restart"/>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深圳市福田区福强路1011号深圳海关福强路办公区B栋（福强路办公区）</w:t>
            </w: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1994105906</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日立YPVF</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18</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1994105907</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日立YPVF</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17层/17站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10200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19</w:t>
            </w:r>
          </w:p>
        </w:tc>
        <w:tc>
          <w:tcPr>
            <w:tcW w:w="171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2014006314</w:t>
            </w:r>
          </w:p>
        </w:tc>
        <w:tc>
          <w:tcPr>
            <w:tcW w:w="1056"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东南液压电梯</w:t>
            </w:r>
          </w:p>
        </w:tc>
        <w:tc>
          <w:tcPr>
            <w:tcW w:w="1102"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3层/3站</w:t>
            </w:r>
          </w:p>
        </w:tc>
        <w:tc>
          <w:tcPr>
            <w:tcW w:w="1927" w:type="dxa"/>
            <w:vMerge w:val="continue"/>
            <w:shd w:val="clear" w:color="auto" w:fill="FFFFFF"/>
            <w:vAlign w:val="center"/>
          </w:tcPr>
          <w:p>
            <w:pPr>
              <w:jc w:val="center"/>
              <w:rPr>
                <w:rFonts w:ascii="宋体" w:hAnsi="宋体" w:eastAsia="宋体"/>
                <w:szCs w:val="21"/>
              </w:rPr>
            </w:pPr>
          </w:p>
        </w:tc>
        <w:tc>
          <w:tcPr>
            <w:tcW w:w="1120"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7200</w:t>
            </w:r>
            <w:r>
              <w:rPr>
                <w:rFonts w:hint="eastAsia" w:ascii="宋体" w:hAnsi="宋体" w:eastAsia="宋体" w:cs="宋体"/>
                <w:kern w:val="0"/>
                <w:szCs w:val="21"/>
              </w:rPr>
              <w:t>.00</w:t>
            </w:r>
          </w:p>
        </w:tc>
        <w:tc>
          <w:tcPr>
            <w:tcW w:w="1957" w:type="dxa"/>
            <w:shd w:val="clear" w:color="auto" w:fill="FFFFFF"/>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20</w:t>
            </w:r>
          </w:p>
        </w:tc>
        <w:tc>
          <w:tcPr>
            <w:tcW w:w="1719" w:type="dxa"/>
            <w:vAlign w:val="center"/>
          </w:tcPr>
          <w:p>
            <w:pPr>
              <w:jc w:val="center"/>
              <w:textAlignment w:val="center"/>
              <w:rPr>
                <w:rFonts w:ascii="宋体" w:hAnsi="宋体" w:eastAsia="宋体"/>
                <w:szCs w:val="21"/>
              </w:rPr>
            </w:pPr>
            <w:r>
              <w:rPr>
                <w:rFonts w:hint="eastAsia" w:ascii="宋体" w:hAnsi="宋体" w:eastAsia="宋体"/>
                <w:szCs w:val="21"/>
              </w:rPr>
              <w:t>2010007704</w:t>
            </w:r>
          </w:p>
        </w:tc>
        <w:tc>
          <w:tcPr>
            <w:tcW w:w="1056" w:type="dxa"/>
            <w:vAlign w:val="center"/>
          </w:tcPr>
          <w:p>
            <w:pPr>
              <w:jc w:val="center"/>
              <w:textAlignment w:val="center"/>
              <w:rPr>
                <w:rFonts w:ascii="宋体" w:hAnsi="宋体" w:eastAsia="宋体"/>
                <w:szCs w:val="21"/>
              </w:rPr>
            </w:pPr>
            <w:r>
              <w:rPr>
                <w:rFonts w:hint="eastAsia" w:ascii="宋体" w:hAnsi="宋体" w:eastAsia="宋体"/>
                <w:szCs w:val="21"/>
              </w:rPr>
              <w:t>上海三菱LEHY</w:t>
            </w:r>
          </w:p>
        </w:tc>
        <w:tc>
          <w:tcPr>
            <w:tcW w:w="1102" w:type="dxa"/>
            <w:vAlign w:val="center"/>
          </w:tcPr>
          <w:p>
            <w:pPr>
              <w:jc w:val="center"/>
              <w:textAlignment w:val="center"/>
              <w:rPr>
                <w:rFonts w:ascii="宋体" w:hAnsi="宋体" w:eastAsia="宋体"/>
                <w:szCs w:val="21"/>
              </w:rPr>
            </w:pPr>
            <w:r>
              <w:rPr>
                <w:rFonts w:hint="eastAsia" w:ascii="宋体" w:hAnsi="宋体" w:eastAsia="宋体"/>
                <w:szCs w:val="21"/>
              </w:rPr>
              <w:t>6层/6站</w:t>
            </w:r>
          </w:p>
        </w:tc>
        <w:tc>
          <w:tcPr>
            <w:tcW w:w="1927" w:type="dxa"/>
            <w:vMerge w:val="restart"/>
            <w:vAlign w:val="center"/>
          </w:tcPr>
          <w:p>
            <w:pPr>
              <w:jc w:val="center"/>
              <w:textAlignment w:val="center"/>
              <w:rPr>
                <w:rFonts w:ascii="宋体" w:hAnsi="宋体" w:eastAsia="宋体"/>
                <w:szCs w:val="21"/>
              </w:rPr>
            </w:pPr>
            <w:r>
              <w:rPr>
                <w:rFonts w:hint="eastAsia" w:ascii="宋体" w:hAnsi="宋体" w:eastAsia="宋体"/>
                <w:szCs w:val="21"/>
              </w:rPr>
              <w:t>盐田区盐梅路新山边村1-2号梅沙B区</w:t>
            </w:r>
          </w:p>
        </w:tc>
        <w:tc>
          <w:tcPr>
            <w:tcW w:w="1120" w:type="dxa"/>
            <w:vAlign w:val="center"/>
          </w:tcPr>
          <w:p>
            <w:pPr>
              <w:jc w:val="center"/>
              <w:textAlignment w:val="center"/>
              <w:rPr>
                <w:rFonts w:ascii="宋体" w:hAnsi="宋体" w:eastAsia="宋体"/>
                <w:szCs w:val="21"/>
              </w:rPr>
            </w:pPr>
            <w:r>
              <w:rPr>
                <w:rFonts w:hint="eastAsia" w:ascii="宋体" w:hAnsi="宋体" w:eastAsia="宋体"/>
                <w:szCs w:val="21"/>
              </w:rPr>
              <w:t>7800</w:t>
            </w:r>
            <w:r>
              <w:rPr>
                <w:rFonts w:hint="eastAsia" w:ascii="宋体" w:hAnsi="宋体" w:eastAsia="宋体" w:cs="宋体"/>
                <w:kern w:val="0"/>
                <w:szCs w:val="21"/>
              </w:rPr>
              <w:t>.00</w:t>
            </w:r>
          </w:p>
        </w:tc>
        <w:tc>
          <w:tcPr>
            <w:tcW w:w="1957" w:type="dxa"/>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21</w:t>
            </w:r>
          </w:p>
        </w:tc>
        <w:tc>
          <w:tcPr>
            <w:tcW w:w="1719" w:type="dxa"/>
            <w:vAlign w:val="center"/>
          </w:tcPr>
          <w:p>
            <w:pPr>
              <w:jc w:val="center"/>
              <w:textAlignment w:val="center"/>
              <w:rPr>
                <w:rFonts w:ascii="宋体" w:hAnsi="宋体" w:eastAsia="宋体"/>
                <w:szCs w:val="21"/>
              </w:rPr>
            </w:pPr>
            <w:r>
              <w:rPr>
                <w:rFonts w:hint="eastAsia" w:ascii="宋体" w:hAnsi="宋体" w:eastAsia="宋体"/>
                <w:szCs w:val="21"/>
              </w:rPr>
              <w:t>2010007705</w:t>
            </w:r>
          </w:p>
        </w:tc>
        <w:tc>
          <w:tcPr>
            <w:tcW w:w="1056" w:type="dxa"/>
            <w:vAlign w:val="center"/>
          </w:tcPr>
          <w:p>
            <w:pPr>
              <w:jc w:val="center"/>
              <w:textAlignment w:val="center"/>
              <w:rPr>
                <w:rFonts w:ascii="宋体" w:hAnsi="宋体" w:eastAsia="宋体"/>
                <w:szCs w:val="21"/>
              </w:rPr>
            </w:pPr>
            <w:r>
              <w:rPr>
                <w:rFonts w:hint="eastAsia" w:ascii="宋体" w:hAnsi="宋体" w:eastAsia="宋体"/>
                <w:szCs w:val="21"/>
              </w:rPr>
              <w:t>上海三菱LEHY</w:t>
            </w:r>
          </w:p>
        </w:tc>
        <w:tc>
          <w:tcPr>
            <w:tcW w:w="1102" w:type="dxa"/>
            <w:vAlign w:val="center"/>
          </w:tcPr>
          <w:p>
            <w:pPr>
              <w:jc w:val="center"/>
              <w:textAlignment w:val="center"/>
              <w:rPr>
                <w:rFonts w:ascii="宋体" w:hAnsi="宋体" w:eastAsia="宋体"/>
                <w:szCs w:val="21"/>
              </w:rPr>
            </w:pPr>
            <w:r>
              <w:rPr>
                <w:rFonts w:hint="eastAsia" w:ascii="宋体" w:hAnsi="宋体" w:eastAsia="宋体"/>
                <w:szCs w:val="21"/>
              </w:rPr>
              <w:t>6层/6站</w:t>
            </w:r>
          </w:p>
        </w:tc>
        <w:tc>
          <w:tcPr>
            <w:tcW w:w="1927" w:type="dxa"/>
            <w:vMerge w:val="continue"/>
            <w:vAlign w:val="center"/>
          </w:tcPr>
          <w:p>
            <w:pPr>
              <w:jc w:val="center"/>
              <w:rPr>
                <w:rFonts w:ascii="宋体" w:hAnsi="宋体" w:eastAsia="宋体"/>
                <w:szCs w:val="21"/>
              </w:rPr>
            </w:pPr>
          </w:p>
        </w:tc>
        <w:tc>
          <w:tcPr>
            <w:tcW w:w="1120" w:type="dxa"/>
            <w:vAlign w:val="center"/>
          </w:tcPr>
          <w:p>
            <w:pPr>
              <w:jc w:val="center"/>
              <w:textAlignment w:val="center"/>
              <w:rPr>
                <w:rFonts w:ascii="宋体" w:hAnsi="宋体" w:eastAsia="宋体"/>
                <w:szCs w:val="21"/>
              </w:rPr>
            </w:pPr>
            <w:r>
              <w:rPr>
                <w:rFonts w:hint="eastAsia" w:ascii="宋体" w:hAnsi="宋体" w:eastAsia="宋体"/>
                <w:szCs w:val="21"/>
              </w:rPr>
              <w:t>7800</w:t>
            </w:r>
            <w:r>
              <w:rPr>
                <w:rFonts w:hint="eastAsia" w:ascii="宋体" w:hAnsi="宋体" w:eastAsia="宋体" w:cs="宋体"/>
                <w:kern w:val="0"/>
                <w:szCs w:val="21"/>
              </w:rPr>
              <w:t>.00</w:t>
            </w:r>
          </w:p>
        </w:tc>
        <w:tc>
          <w:tcPr>
            <w:tcW w:w="1957" w:type="dxa"/>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22</w:t>
            </w:r>
          </w:p>
        </w:tc>
        <w:tc>
          <w:tcPr>
            <w:tcW w:w="1719" w:type="dxa"/>
            <w:vAlign w:val="center"/>
          </w:tcPr>
          <w:p>
            <w:pPr>
              <w:jc w:val="center"/>
              <w:textAlignment w:val="center"/>
              <w:rPr>
                <w:rFonts w:ascii="宋体" w:hAnsi="宋体" w:eastAsia="宋体"/>
                <w:szCs w:val="21"/>
              </w:rPr>
            </w:pPr>
            <w:r>
              <w:rPr>
                <w:rFonts w:hint="eastAsia" w:ascii="宋体" w:hAnsi="宋体" w:eastAsia="宋体"/>
                <w:szCs w:val="21"/>
              </w:rPr>
              <w:t>2010007706</w:t>
            </w:r>
          </w:p>
        </w:tc>
        <w:tc>
          <w:tcPr>
            <w:tcW w:w="1056" w:type="dxa"/>
            <w:vAlign w:val="center"/>
          </w:tcPr>
          <w:p>
            <w:pPr>
              <w:jc w:val="center"/>
              <w:textAlignment w:val="center"/>
              <w:rPr>
                <w:rFonts w:ascii="宋体" w:hAnsi="宋体" w:eastAsia="宋体"/>
                <w:szCs w:val="21"/>
              </w:rPr>
            </w:pPr>
            <w:r>
              <w:rPr>
                <w:rFonts w:hint="eastAsia" w:ascii="宋体" w:hAnsi="宋体" w:eastAsia="宋体"/>
                <w:szCs w:val="21"/>
              </w:rPr>
              <w:t>上海三菱LEHY</w:t>
            </w:r>
          </w:p>
        </w:tc>
        <w:tc>
          <w:tcPr>
            <w:tcW w:w="1102" w:type="dxa"/>
            <w:vAlign w:val="center"/>
          </w:tcPr>
          <w:p>
            <w:pPr>
              <w:jc w:val="center"/>
              <w:textAlignment w:val="center"/>
              <w:rPr>
                <w:rFonts w:ascii="宋体" w:hAnsi="宋体" w:eastAsia="宋体"/>
                <w:szCs w:val="21"/>
              </w:rPr>
            </w:pPr>
            <w:r>
              <w:rPr>
                <w:rFonts w:hint="eastAsia" w:ascii="宋体" w:hAnsi="宋体" w:eastAsia="宋体"/>
                <w:szCs w:val="21"/>
              </w:rPr>
              <w:t>5层/5站</w:t>
            </w:r>
          </w:p>
        </w:tc>
        <w:tc>
          <w:tcPr>
            <w:tcW w:w="1927" w:type="dxa"/>
            <w:vMerge w:val="continue"/>
            <w:vAlign w:val="center"/>
          </w:tcPr>
          <w:p>
            <w:pPr>
              <w:jc w:val="center"/>
              <w:rPr>
                <w:rFonts w:ascii="宋体" w:hAnsi="宋体" w:eastAsia="宋体"/>
                <w:szCs w:val="21"/>
              </w:rPr>
            </w:pPr>
          </w:p>
        </w:tc>
        <w:tc>
          <w:tcPr>
            <w:tcW w:w="1120" w:type="dxa"/>
            <w:vAlign w:val="center"/>
          </w:tcPr>
          <w:p>
            <w:pPr>
              <w:jc w:val="center"/>
              <w:textAlignment w:val="center"/>
              <w:rPr>
                <w:rFonts w:ascii="宋体" w:hAnsi="宋体" w:eastAsia="宋体"/>
                <w:szCs w:val="21"/>
              </w:rPr>
            </w:pPr>
            <w:r>
              <w:rPr>
                <w:rFonts w:hint="eastAsia" w:ascii="宋体" w:hAnsi="宋体" w:eastAsia="宋体"/>
                <w:szCs w:val="21"/>
              </w:rPr>
              <w:t>7800</w:t>
            </w:r>
            <w:r>
              <w:rPr>
                <w:rFonts w:hint="eastAsia" w:ascii="宋体" w:hAnsi="宋体" w:eastAsia="宋体" w:cs="宋体"/>
                <w:kern w:val="0"/>
                <w:szCs w:val="21"/>
              </w:rPr>
              <w:t>.00</w:t>
            </w:r>
          </w:p>
        </w:tc>
        <w:tc>
          <w:tcPr>
            <w:tcW w:w="1957" w:type="dxa"/>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23</w:t>
            </w:r>
          </w:p>
        </w:tc>
        <w:tc>
          <w:tcPr>
            <w:tcW w:w="1719" w:type="dxa"/>
            <w:vAlign w:val="center"/>
          </w:tcPr>
          <w:p>
            <w:pPr>
              <w:jc w:val="center"/>
              <w:textAlignment w:val="center"/>
              <w:rPr>
                <w:rFonts w:ascii="宋体" w:hAnsi="宋体" w:eastAsia="宋体"/>
                <w:szCs w:val="21"/>
              </w:rPr>
            </w:pPr>
            <w:r>
              <w:rPr>
                <w:rFonts w:hint="eastAsia" w:ascii="宋体" w:hAnsi="宋体" w:eastAsia="宋体"/>
                <w:szCs w:val="21"/>
              </w:rPr>
              <w:t>2010007707</w:t>
            </w:r>
          </w:p>
        </w:tc>
        <w:tc>
          <w:tcPr>
            <w:tcW w:w="1056" w:type="dxa"/>
            <w:vAlign w:val="center"/>
          </w:tcPr>
          <w:p>
            <w:pPr>
              <w:jc w:val="center"/>
              <w:textAlignment w:val="center"/>
              <w:rPr>
                <w:rFonts w:ascii="宋体" w:hAnsi="宋体" w:eastAsia="宋体"/>
                <w:szCs w:val="21"/>
              </w:rPr>
            </w:pPr>
            <w:r>
              <w:rPr>
                <w:rFonts w:hint="eastAsia" w:ascii="宋体" w:hAnsi="宋体" w:eastAsia="宋体"/>
                <w:szCs w:val="21"/>
              </w:rPr>
              <w:t>上海三菱LEHY</w:t>
            </w:r>
          </w:p>
        </w:tc>
        <w:tc>
          <w:tcPr>
            <w:tcW w:w="1102" w:type="dxa"/>
            <w:vAlign w:val="center"/>
          </w:tcPr>
          <w:p>
            <w:pPr>
              <w:jc w:val="center"/>
              <w:textAlignment w:val="center"/>
              <w:rPr>
                <w:rFonts w:ascii="宋体" w:hAnsi="宋体" w:eastAsia="宋体"/>
                <w:szCs w:val="21"/>
              </w:rPr>
            </w:pPr>
            <w:r>
              <w:rPr>
                <w:rFonts w:hint="eastAsia" w:ascii="宋体" w:hAnsi="宋体" w:eastAsia="宋体"/>
                <w:szCs w:val="21"/>
              </w:rPr>
              <w:t>5层/5站</w:t>
            </w:r>
          </w:p>
        </w:tc>
        <w:tc>
          <w:tcPr>
            <w:tcW w:w="1927" w:type="dxa"/>
            <w:vMerge w:val="continue"/>
            <w:vAlign w:val="center"/>
          </w:tcPr>
          <w:p>
            <w:pPr>
              <w:jc w:val="center"/>
              <w:rPr>
                <w:rFonts w:ascii="宋体" w:hAnsi="宋体" w:eastAsia="宋体"/>
                <w:szCs w:val="21"/>
              </w:rPr>
            </w:pPr>
          </w:p>
        </w:tc>
        <w:tc>
          <w:tcPr>
            <w:tcW w:w="1120" w:type="dxa"/>
            <w:vAlign w:val="center"/>
          </w:tcPr>
          <w:p>
            <w:pPr>
              <w:jc w:val="center"/>
              <w:textAlignment w:val="center"/>
              <w:rPr>
                <w:rFonts w:ascii="宋体" w:hAnsi="宋体" w:eastAsia="宋体"/>
                <w:szCs w:val="21"/>
              </w:rPr>
            </w:pPr>
            <w:r>
              <w:rPr>
                <w:rFonts w:hint="eastAsia" w:ascii="宋体" w:hAnsi="宋体" w:eastAsia="宋体"/>
                <w:szCs w:val="21"/>
              </w:rPr>
              <w:t>7800</w:t>
            </w:r>
            <w:r>
              <w:rPr>
                <w:rFonts w:hint="eastAsia" w:ascii="宋体" w:hAnsi="宋体" w:eastAsia="宋体" w:cs="宋体"/>
                <w:kern w:val="0"/>
                <w:szCs w:val="21"/>
              </w:rPr>
              <w:t>.00</w:t>
            </w:r>
          </w:p>
        </w:tc>
        <w:tc>
          <w:tcPr>
            <w:tcW w:w="1957" w:type="dxa"/>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24</w:t>
            </w:r>
          </w:p>
        </w:tc>
        <w:tc>
          <w:tcPr>
            <w:tcW w:w="1719" w:type="dxa"/>
            <w:vAlign w:val="center"/>
          </w:tcPr>
          <w:p>
            <w:pPr>
              <w:jc w:val="center"/>
              <w:textAlignment w:val="center"/>
              <w:rPr>
                <w:rFonts w:ascii="宋体" w:hAnsi="宋体" w:eastAsia="宋体"/>
                <w:szCs w:val="21"/>
              </w:rPr>
            </w:pPr>
            <w:r>
              <w:rPr>
                <w:rFonts w:hint="eastAsia" w:ascii="宋体" w:hAnsi="宋体" w:eastAsia="宋体"/>
                <w:szCs w:val="21"/>
              </w:rPr>
              <w:t>2017008509</w:t>
            </w:r>
          </w:p>
        </w:tc>
        <w:tc>
          <w:tcPr>
            <w:tcW w:w="1056" w:type="dxa"/>
            <w:vAlign w:val="center"/>
          </w:tcPr>
          <w:p>
            <w:pPr>
              <w:jc w:val="center"/>
              <w:textAlignment w:val="center"/>
              <w:rPr>
                <w:rFonts w:ascii="宋体" w:hAnsi="宋体" w:eastAsia="宋体"/>
                <w:szCs w:val="21"/>
              </w:rPr>
            </w:pPr>
            <w:r>
              <w:rPr>
                <w:rFonts w:hint="eastAsia" w:ascii="宋体" w:hAnsi="宋体" w:eastAsia="宋体"/>
                <w:szCs w:val="21"/>
              </w:rPr>
              <w:t>上海三菱ELENESSA</w:t>
            </w:r>
          </w:p>
        </w:tc>
        <w:tc>
          <w:tcPr>
            <w:tcW w:w="1102" w:type="dxa"/>
            <w:vAlign w:val="center"/>
          </w:tcPr>
          <w:p>
            <w:pPr>
              <w:jc w:val="center"/>
              <w:textAlignment w:val="center"/>
              <w:rPr>
                <w:rFonts w:ascii="宋体" w:hAnsi="宋体" w:eastAsia="宋体"/>
                <w:szCs w:val="21"/>
              </w:rPr>
            </w:pPr>
            <w:r>
              <w:rPr>
                <w:rFonts w:hint="eastAsia" w:ascii="宋体" w:hAnsi="宋体" w:eastAsia="宋体"/>
                <w:szCs w:val="21"/>
              </w:rPr>
              <w:t>2层/2站</w:t>
            </w:r>
          </w:p>
        </w:tc>
        <w:tc>
          <w:tcPr>
            <w:tcW w:w="1927" w:type="dxa"/>
            <w:vMerge w:val="continue"/>
            <w:vAlign w:val="center"/>
          </w:tcPr>
          <w:p>
            <w:pPr>
              <w:jc w:val="center"/>
              <w:rPr>
                <w:rFonts w:ascii="宋体" w:hAnsi="宋体" w:eastAsia="宋体"/>
                <w:szCs w:val="21"/>
              </w:rPr>
            </w:pPr>
          </w:p>
        </w:tc>
        <w:tc>
          <w:tcPr>
            <w:tcW w:w="1120" w:type="dxa"/>
            <w:vAlign w:val="center"/>
          </w:tcPr>
          <w:p>
            <w:pPr>
              <w:jc w:val="center"/>
              <w:textAlignment w:val="center"/>
              <w:rPr>
                <w:rFonts w:ascii="宋体" w:hAnsi="宋体" w:eastAsia="宋体"/>
                <w:szCs w:val="21"/>
              </w:rPr>
            </w:pPr>
            <w:r>
              <w:rPr>
                <w:rFonts w:hint="eastAsia" w:ascii="宋体" w:hAnsi="宋体" w:eastAsia="宋体"/>
                <w:szCs w:val="21"/>
              </w:rPr>
              <w:t>6000</w:t>
            </w:r>
            <w:r>
              <w:rPr>
                <w:rFonts w:hint="eastAsia" w:ascii="宋体" w:hAnsi="宋体" w:eastAsia="宋体" w:cs="宋体"/>
                <w:kern w:val="0"/>
                <w:szCs w:val="21"/>
              </w:rPr>
              <w:t>.00</w:t>
            </w:r>
          </w:p>
        </w:tc>
        <w:tc>
          <w:tcPr>
            <w:tcW w:w="1957" w:type="dxa"/>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25</w:t>
            </w:r>
          </w:p>
        </w:tc>
        <w:tc>
          <w:tcPr>
            <w:tcW w:w="1719" w:type="dxa"/>
            <w:vAlign w:val="center"/>
          </w:tcPr>
          <w:p>
            <w:pPr>
              <w:jc w:val="center"/>
              <w:textAlignment w:val="center"/>
              <w:rPr>
                <w:rFonts w:ascii="宋体" w:hAnsi="宋体" w:eastAsia="宋体"/>
                <w:szCs w:val="21"/>
              </w:rPr>
            </w:pPr>
            <w:r>
              <w:rPr>
                <w:rFonts w:hint="eastAsia" w:ascii="宋体" w:hAnsi="宋体" w:eastAsia="宋体"/>
                <w:szCs w:val="21"/>
              </w:rPr>
              <w:t>2004004029</w:t>
            </w:r>
          </w:p>
        </w:tc>
        <w:tc>
          <w:tcPr>
            <w:tcW w:w="1056" w:type="dxa"/>
            <w:vAlign w:val="center"/>
          </w:tcPr>
          <w:p>
            <w:pPr>
              <w:jc w:val="center"/>
              <w:textAlignment w:val="center"/>
              <w:rPr>
                <w:rFonts w:ascii="宋体" w:hAnsi="宋体" w:eastAsia="宋体"/>
                <w:szCs w:val="21"/>
              </w:rPr>
            </w:pPr>
            <w:r>
              <w:rPr>
                <w:rFonts w:hint="eastAsia" w:ascii="宋体" w:hAnsi="宋体" w:eastAsia="宋体"/>
                <w:szCs w:val="21"/>
              </w:rPr>
              <w:t>日立NPX</w:t>
            </w:r>
          </w:p>
        </w:tc>
        <w:tc>
          <w:tcPr>
            <w:tcW w:w="1102" w:type="dxa"/>
            <w:vAlign w:val="center"/>
          </w:tcPr>
          <w:p>
            <w:pPr>
              <w:jc w:val="center"/>
              <w:textAlignment w:val="center"/>
              <w:rPr>
                <w:rFonts w:ascii="宋体" w:hAnsi="宋体" w:eastAsia="宋体"/>
                <w:szCs w:val="21"/>
              </w:rPr>
            </w:pPr>
            <w:r>
              <w:rPr>
                <w:rFonts w:hint="eastAsia" w:ascii="宋体" w:hAnsi="宋体" w:eastAsia="宋体"/>
                <w:szCs w:val="21"/>
              </w:rPr>
              <w:t>8层/8站</w:t>
            </w:r>
          </w:p>
        </w:tc>
        <w:tc>
          <w:tcPr>
            <w:tcW w:w="1927" w:type="dxa"/>
            <w:vAlign w:val="center"/>
          </w:tcPr>
          <w:p>
            <w:pPr>
              <w:jc w:val="center"/>
              <w:rPr>
                <w:rFonts w:ascii="宋体" w:hAnsi="宋体" w:eastAsia="宋体"/>
                <w:szCs w:val="21"/>
              </w:rPr>
            </w:pPr>
            <w:r>
              <w:rPr>
                <w:rFonts w:hint="eastAsia" w:ascii="宋体" w:hAnsi="宋体" w:eastAsia="宋体"/>
                <w:szCs w:val="21"/>
              </w:rPr>
              <w:t>龙岗区清林中路33号</w:t>
            </w:r>
          </w:p>
        </w:tc>
        <w:tc>
          <w:tcPr>
            <w:tcW w:w="1120" w:type="dxa"/>
            <w:vAlign w:val="center"/>
          </w:tcPr>
          <w:p>
            <w:pPr>
              <w:jc w:val="center"/>
              <w:textAlignment w:val="center"/>
              <w:rPr>
                <w:rFonts w:ascii="宋体" w:hAnsi="宋体" w:eastAsia="宋体"/>
                <w:szCs w:val="21"/>
              </w:rPr>
            </w:pPr>
            <w:r>
              <w:rPr>
                <w:rFonts w:hint="eastAsia" w:ascii="宋体" w:hAnsi="宋体" w:eastAsia="宋体"/>
                <w:szCs w:val="21"/>
              </w:rPr>
              <w:t>8400</w:t>
            </w:r>
            <w:r>
              <w:rPr>
                <w:rFonts w:hint="eastAsia" w:ascii="宋体" w:hAnsi="宋体" w:eastAsia="宋体" w:cs="宋体"/>
                <w:kern w:val="0"/>
                <w:szCs w:val="21"/>
              </w:rPr>
              <w:t>.00</w:t>
            </w:r>
          </w:p>
        </w:tc>
        <w:tc>
          <w:tcPr>
            <w:tcW w:w="1957" w:type="dxa"/>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09" w:type="dxa"/>
            <w:shd w:val="clear" w:color="auto" w:fill="FFFFFF"/>
            <w:vAlign w:val="center"/>
          </w:tcPr>
          <w:p>
            <w:pPr>
              <w:jc w:val="center"/>
              <w:textAlignment w:val="center"/>
              <w:rPr>
                <w:rFonts w:ascii="宋体" w:hAnsi="宋体" w:eastAsia="宋体"/>
                <w:szCs w:val="21"/>
              </w:rPr>
            </w:pPr>
            <w:r>
              <w:rPr>
                <w:rFonts w:hint="eastAsia" w:ascii="宋体" w:hAnsi="宋体" w:eastAsia="宋体"/>
                <w:szCs w:val="21"/>
              </w:rPr>
              <w:t>26</w:t>
            </w:r>
          </w:p>
        </w:tc>
        <w:tc>
          <w:tcPr>
            <w:tcW w:w="1719" w:type="dxa"/>
            <w:vAlign w:val="center"/>
          </w:tcPr>
          <w:p>
            <w:pPr>
              <w:jc w:val="center"/>
              <w:textAlignment w:val="center"/>
              <w:rPr>
                <w:rFonts w:ascii="宋体" w:hAnsi="宋体" w:eastAsia="宋体"/>
                <w:szCs w:val="21"/>
              </w:rPr>
            </w:pPr>
            <w:r>
              <w:rPr>
                <w:rFonts w:hint="eastAsia" w:ascii="宋体" w:hAnsi="宋体" w:eastAsia="宋体"/>
                <w:szCs w:val="21"/>
              </w:rPr>
              <w:t>2004004030</w:t>
            </w:r>
          </w:p>
        </w:tc>
        <w:tc>
          <w:tcPr>
            <w:tcW w:w="1056" w:type="dxa"/>
            <w:vAlign w:val="center"/>
          </w:tcPr>
          <w:p>
            <w:pPr>
              <w:jc w:val="center"/>
              <w:textAlignment w:val="center"/>
              <w:rPr>
                <w:rFonts w:ascii="宋体" w:hAnsi="宋体" w:eastAsia="宋体"/>
                <w:szCs w:val="21"/>
              </w:rPr>
            </w:pPr>
            <w:r>
              <w:rPr>
                <w:rFonts w:hint="eastAsia" w:ascii="宋体" w:hAnsi="宋体" w:eastAsia="宋体"/>
                <w:szCs w:val="21"/>
              </w:rPr>
              <w:t>日立NPX</w:t>
            </w:r>
          </w:p>
        </w:tc>
        <w:tc>
          <w:tcPr>
            <w:tcW w:w="1102" w:type="dxa"/>
            <w:vAlign w:val="center"/>
          </w:tcPr>
          <w:p>
            <w:pPr>
              <w:jc w:val="center"/>
              <w:textAlignment w:val="center"/>
              <w:rPr>
                <w:rFonts w:ascii="宋体" w:hAnsi="宋体" w:eastAsia="宋体"/>
                <w:szCs w:val="21"/>
              </w:rPr>
            </w:pPr>
            <w:r>
              <w:rPr>
                <w:rFonts w:hint="eastAsia" w:ascii="宋体" w:hAnsi="宋体" w:eastAsia="宋体"/>
                <w:szCs w:val="21"/>
              </w:rPr>
              <w:t>9层/9站</w:t>
            </w:r>
          </w:p>
        </w:tc>
        <w:tc>
          <w:tcPr>
            <w:tcW w:w="1927" w:type="dxa"/>
            <w:vAlign w:val="center"/>
          </w:tcPr>
          <w:p>
            <w:pPr>
              <w:jc w:val="center"/>
              <w:rPr>
                <w:rFonts w:ascii="宋体" w:hAnsi="宋体" w:eastAsia="宋体"/>
                <w:szCs w:val="21"/>
              </w:rPr>
            </w:pPr>
            <w:r>
              <w:rPr>
                <w:rFonts w:hint="eastAsia" w:ascii="宋体" w:hAnsi="宋体" w:eastAsia="宋体"/>
                <w:szCs w:val="21"/>
              </w:rPr>
              <w:t>龙岗区清林中路33号</w:t>
            </w:r>
          </w:p>
        </w:tc>
        <w:tc>
          <w:tcPr>
            <w:tcW w:w="1120" w:type="dxa"/>
            <w:vAlign w:val="center"/>
          </w:tcPr>
          <w:p>
            <w:pPr>
              <w:jc w:val="center"/>
              <w:textAlignment w:val="center"/>
              <w:rPr>
                <w:rFonts w:ascii="宋体" w:hAnsi="宋体" w:eastAsia="宋体"/>
                <w:szCs w:val="21"/>
              </w:rPr>
            </w:pPr>
            <w:r>
              <w:rPr>
                <w:rFonts w:hint="eastAsia" w:ascii="宋体" w:hAnsi="宋体" w:eastAsia="宋体"/>
                <w:szCs w:val="21"/>
              </w:rPr>
              <w:t>8400</w:t>
            </w:r>
            <w:r>
              <w:rPr>
                <w:rFonts w:hint="eastAsia" w:ascii="宋体" w:hAnsi="宋体" w:eastAsia="宋体" w:cs="宋体"/>
                <w:kern w:val="0"/>
                <w:szCs w:val="21"/>
              </w:rPr>
              <w:t>.00</w:t>
            </w:r>
          </w:p>
        </w:tc>
        <w:tc>
          <w:tcPr>
            <w:tcW w:w="1957" w:type="dxa"/>
            <w:vAlign w:val="center"/>
          </w:tcPr>
          <w:p>
            <w:pPr>
              <w:jc w:val="center"/>
              <w:textAlignment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13" w:type="dxa"/>
            <w:gridSpan w:val="5"/>
            <w:shd w:val="clear" w:color="auto" w:fill="FFFFFF"/>
            <w:vAlign w:val="center"/>
          </w:tcPr>
          <w:p>
            <w:pPr>
              <w:jc w:val="center"/>
              <w:rPr>
                <w:rFonts w:ascii="宋体" w:hAnsi="宋体" w:eastAsia="宋体"/>
                <w:szCs w:val="21"/>
              </w:rPr>
            </w:pPr>
            <w:r>
              <w:rPr>
                <w:rFonts w:hint="eastAsia" w:ascii="宋体" w:hAnsi="宋体" w:eastAsia="宋体"/>
                <w:szCs w:val="21"/>
              </w:rPr>
              <w:t>小计</w:t>
            </w:r>
            <w:r>
              <w:rPr>
                <w:rFonts w:hint="eastAsia" w:ascii="宋体" w:hAnsi="宋体" w:eastAsia="宋体" w:cs="宋体"/>
                <w:kern w:val="0"/>
                <w:szCs w:val="21"/>
              </w:rPr>
              <w:t>（三）</w:t>
            </w:r>
          </w:p>
        </w:tc>
        <w:tc>
          <w:tcPr>
            <w:tcW w:w="1120" w:type="dxa"/>
            <w:vAlign w:val="center"/>
          </w:tcPr>
          <w:p>
            <w:pPr>
              <w:jc w:val="center"/>
              <w:textAlignment w:val="center"/>
              <w:rPr>
                <w:rFonts w:ascii="宋体" w:hAnsi="宋体" w:eastAsia="宋体"/>
                <w:szCs w:val="21"/>
              </w:rPr>
            </w:pPr>
          </w:p>
        </w:tc>
        <w:tc>
          <w:tcPr>
            <w:tcW w:w="1957" w:type="dxa"/>
            <w:vAlign w:val="center"/>
          </w:tcPr>
          <w:p>
            <w:pPr>
              <w:jc w:val="center"/>
              <w:textAlignment w:val="center"/>
              <w:rPr>
                <w:rFonts w:ascii="宋体" w:hAnsi="宋体" w:eastAsia="宋体"/>
                <w:szCs w:val="21"/>
              </w:rPr>
            </w:pPr>
          </w:p>
        </w:tc>
      </w:tr>
    </w:tbl>
    <w:p>
      <w:pPr>
        <w:pStyle w:val="2"/>
      </w:pPr>
    </w:p>
    <w:p>
      <w:pPr>
        <w:widowControl/>
        <w:shd w:val="clear" w:color="auto" w:fill="FFFFFF"/>
        <w:adjustRightInd w:val="0"/>
        <w:snapToGrid w:val="0"/>
        <w:spacing w:line="500" w:lineRule="exact"/>
        <w:jc w:val="left"/>
        <w:rPr>
          <w:rFonts w:ascii="宋体" w:hAnsi="宋体" w:eastAsia="宋体"/>
          <w:b/>
          <w:bCs/>
          <w:szCs w:val="21"/>
        </w:rPr>
      </w:pPr>
      <w:r>
        <w:rPr>
          <w:rFonts w:hint="eastAsia" w:ascii="宋体" w:hAnsi="宋体" w:eastAsia="宋体"/>
          <w:b/>
          <w:bCs/>
          <w:szCs w:val="21"/>
        </w:rPr>
        <w:t>合计金额（元/年）为：</w:t>
      </w:r>
      <w:r>
        <w:rPr>
          <w:rFonts w:hint="eastAsia" w:ascii="宋体" w:hAnsi="宋体" w:eastAsia="宋体"/>
          <w:b/>
          <w:bCs/>
          <w:szCs w:val="21"/>
          <w:u w:val="single"/>
        </w:rPr>
        <w:t xml:space="preserve">                  </w:t>
      </w:r>
      <w:r>
        <w:rPr>
          <w:rFonts w:hint="eastAsia" w:ascii="宋体" w:hAnsi="宋体" w:eastAsia="宋体"/>
          <w:b/>
          <w:bCs/>
          <w:szCs w:val="21"/>
        </w:rPr>
        <w:t>。</w:t>
      </w:r>
    </w:p>
    <w:p>
      <w:pPr>
        <w:widowControl/>
        <w:shd w:val="clear" w:color="auto" w:fill="FFFFFF"/>
        <w:adjustRightInd w:val="0"/>
        <w:snapToGrid w:val="0"/>
        <w:spacing w:line="500" w:lineRule="exact"/>
        <w:jc w:val="left"/>
        <w:rPr>
          <w:rFonts w:ascii="宋体" w:hAnsi="Times New Roman" w:eastAsia="宋体" w:cs="宋体"/>
          <w:spacing w:val="4"/>
          <w:kern w:val="0"/>
          <w:szCs w:val="24"/>
        </w:rPr>
      </w:pPr>
    </w:p>
    <w:p>
      <w:pPr>
        <w:widowControl/>
        <w:shd w:val="clear" w:color="auto" w:fill="FFFFFF"/>
        <w:adjustRightInd w:val="0"/>
        <w:snapToGrid w:val="0"/>
        <w:spacing w:line="500" w:lineRule="exact"/>
        <w:jc w:val="left"/>
        <w:rPr>
          <w:rFonts w:ascii="宋体" w:hAnsi="Times New Roman" w:eastAsia="宋体" w:cs="宋体"/>
          <w:kern w:val="0"/>
          <w:szCs w:val="24"/>
          <w:u w:val="single"/>
        </w:rPr>
      </w:pPr>
      <w:r>
        <w:rPr>
          <w:rFonts w:hint="eastAsia" w:ascii="宋体" w:hAnsi="Times New Roman" w:eastAsia="宋体" w:cs="宋体"/>
          <w:spacing w:val="4"/>
          <w:kern w:val="0"/>
          <w:szCs w:val="24"/>
        </w:rPr>
        <w:t>投标供应商名称（</w:t>
      </w:r>
      <w:r>
        <w:rPr>
          <w:rFonts w:hint="eastAsia" w:ascii="宋体" w:hAnsi="Times New Roman" w:eastAsia="宋体" w:cs="宋体"/>
          <w:kern w:val="0"/>
          <w:szCs w:val="24"/>
        </w:rPr>
        <w:t>单位盖</w:t>
      </w:r>
      <w:r>
        <w:rPr>
          <w:rFonts w:hint="eastAsia" w:ascii="宋体" w:hAnsi="Times New Roman" w:eastAsia="宋体" w:cs="宋体"/>
          <w:spacing w:val="4"/>
          <w:kern w:val="0"/>
          <w:szCs w:val="24"/>
        </w:rPr>
        <w:t>公章）：</w:t>
      </w:r>
      <w:r>
        <w:rPr>
          <w:rFonts w:hint="eastAsia" w:ascii="宋体" w:hAnsi="Times New Roman" w:eastAsia="宋体" w:cs="宋体"/>
          <w:spacing w:val="4"/>
          <w:kern w:val="0"/>
          <w:szCs w:val="24"/>
          <w:u w:val="single"/>
        </w:rPr>
        <w:t>__________________________</w:t>
      </w:r>
    </w:p>
    <w:p>
      <w:pPr>
        <w:widowControl/>
        <w:shd w:val="clear" w:color="auto" w:fill="FFFFFF"/>
        <w:adjustRightInd w:val="0"/>
        <w:snapToGrid w:val="0"/>
        <w:spacing w:line="520" w:lineRule="exact"/>
        <w:jc w:val="left"/>
        <w:rPr>
          <w:rFonts w:ascii="宋体" w:hAnsi="Times New Roman" w:eastAsia="宋体" w:cs="宋体"/>
          <w:spacing w:val="4"/>
          <w:kern w:val="0"/>
          <w:szCs w:val="24"/>
        </w:rPr>
      </w:pPr>
      <w:r>
        <w:rPr>
          <w:rFonts w:hint="eastAsia" w:ascii="宋体" w:hAnsi="Times New Roman" w:eastAsia="宋体" w:cs="宋体"/>
          <w:kern w:val="0"/>
          <w:szCs w:val="24"/>
        </w:rPr>
        <w:t>法定代表人或投标供应商授权代表（签名或盖章）：</w:t>
      </w:r>
      <w:r>
        <w:rPr>
          <w:rFonts w:hint="eastAsia" w:ascii="宋体" w:hAnsi="Times New Roman" w:eastAsia="宋体" w:cs="宋体"/>
          <w:kern w:val="0"/>
          <w:szCs w:val="24"/>
          <w:u w:val="single"/>
        </w:rPr>
        <w:t>_____________</w:t>
      </w:r>
      <w:r>
        <w:rPr>
          <w:rFonts w:hint="eastAsia" w:ascii="宋体" w:hAnsi="Times New Roman" w:eastAsia="宋体" w:cs="宋体"/>
          <w:spacing w:val="4"/>
          <w:kern w:val="0"/>
          <w:szCs w:val="24"/>
        </w:rPr>
        <w:t>职务：</w:t>
      </w:r>
      <w:r>
        <w:rPr>
          <w:rFonts w:hint="eastAsia" w:ascii="宋体" w:hAnsi="Times New Roman" w:eastAsia="宋体" w:cs="宋体"/>
          <w:spacing w:val="4"/>
          <w:kern w:val="0"/>
          <w:szCs w:val="24"/>
          <w:u w:val="single"/>
        </w:rPr>
        <w:t>_________</w:t>
      </w:r>
      <w:r>
        <w:rPr>
          <w:rFonts w:hint="eastAsia" w:ascii="宋体" w:hAnsi="Times New Roman" w:eastAsia="宋体" w:cs="宋体"/>
          <w:spacing w:val="4"/>
          <w:kern w:val="0"/>
          <w:szCs w:val="24"/>
        </w:rPr>
        <w:t>日期</w:t>
      </w:r>
      <w:r>
        <w:rPr>
          <w:rFonts w:hint="eastAsia" w:ascii="宋体" w:hAnsi="Times New Roman" w:eastAsia="宋体" w:cs="宋体"/>
          <w:spacing w:val="4"/>
          <w:kern w:val="0"/>
          <w:szCs w:val="24"/>
          <w:u w:val="single"/>
        </w:rPr>
        <w:t>__________</w:t>
      </w:r>
    </w:p>
    <w:p>
      <w:pPr>
        <w:widowControl/>
        <w:shd w:val="clear" w:color="auto" w:fill="FFFFFF"/>
        <w:adjustRightInd w:val="0"/>
        <w:snapToGrid w:val="0"/>
        <w:spacing w:line="400" w:lineRule="exact"/>
        <w:ind w:firstLine="422"/>
        <w:jc w:val="left"/>
        <w:rPr>
          <w:rFonts w:ascii="宋体" w:hAnsi="Times New Roman" w:eastAsia="宋体" w:cs="宋体"/>
          <w:b/>
          <w:bCs/>
          <w:kern w:val="0"/>
          <w:szCs w:val="21"/>
        </w:rPr>
      </w:pPr>
    </w:p>
    <w:p>
      <w:pPr>
        <w:widowControl/>
        <w:shd w:val="clear" w:color="auto" w:fill="FFFFFF"/>
        <w:adjustRightInd w:val="0"/>
        <w:snapToGrid w:val="0"/>
        <w:spacing w:line="400" w:lineRule="exact"/>
        <w:ind w:firstLine="422"/>
        <w:jc w:val="left"/>
        <w:rPr>
          <w:rFonts w:ascii="宋体" w:hAnsi="Times New Roman" w:eastAsia="宋体" w:cs="宋体"/>
          <w:b/>
          <w:bCs/>
          <w:kern w:val="0"/>
          <w:szCs w:val="21"/>
        </w:rPr>
      </w:pPr>
      <w:r>
        <w:rPr>
          <w:rFonts w:hint="eastAsia" w:ascii="宋体" w:hAnsi="Times New Roman" w:eastAsia="宋体" w:cs="宋体"/>
          <w:b/>
          <w:bCs/>
          <w:kern w:val="0"/>
          <w:szCs w:val="21"/>
        </w:rPr>
        <w:t>备注：</w:t>
      </w:r>
    </w:p>
    <w:p>
      <w:pPr>
        <w:widowControl/>
        <w:numPr>
          <w:ilvl w:val="0"/>
          <w:numId w:val="44"/>
        </w:numPr>
        <w:ind w:firstLine="422"/>
        <w:jc w:val="left"/>
        <w:rPr>
          <w:rFonts w:ascii="宋体" w:hAnsi="Times New Roman" w:eastAsia="宋体" w:cs="宋体"/>
          <w:b/>
          <w:bCs/>
          <w:kern w:val="0"/>
          <w:szCs w:val="21"/>
        </w:rPr>
      </w:pPr>
      <w:r>
        <w:rPr>
          <w:rFonts w:hint="eastAsia" w:ascii="宋体" w:hAnsi="Times New Roman" w:eastAsia="宋体" w:cs="宋体"/>
          <w:b/>
          <w:bCs/>
          <w:kern w:val="0"/>
          <w:szCs w:val="21"/>
        </w:rPr>
        <w:t>投标报价得分四舍五入后，小数点后保留两位有效数。</w:t>
      </w:r>
    </w:p>
    <w:p>
      <w:pPr>
        <w:widowControl/>
        <w:numPr>
          <w:ilvl w:val="0"/>
          <w:numId w:val="44"/>
        </w:numPr>
        <w:ind w:firstLine="422"/>
        <w:jc w:val="left"/>
        <w:rPr>
          <w:rFonts w:ascii="宋体" w:hAnsi="Times New Roman" w:eastAsia="宋体" w:cs="宋体"/>
          <w:b/>
          <w:bCs/>
          <w:kern w:val="0"/>
          <w:szCs w:val="21"/>
        </w:rPr>
      </w:pPr>
      <w:r>
        <w:rPr>
          <w:rFonts w:hint="eastAsia" w:ascii="宋体" w:hAnsi="Times New Roman" w:eastAsia="宋体" w:cs="宋体"/>
          <w:b/>
          <w:bCs/>
          <w:kern w:val="0"/>
          <w:szCs w:val="21"/>
        </w:rPr>
        <w:t>合计金额=小计（一）+小计（二）+小计（三）</w:t>
      </w:r>
    </w:p>
    <w:p>
      <w:pPr>
        <w:widowControl/>
        <w:numPr>
          <w:ilvl w:val="0"/>
          <w:numId w:val="44"/>
        </w:numPr>
        <w:ind w:firstLine="422"/>
        <w:jc w:val="left"/>
        <w:rPr>
          <w:rFonts w:ascii="宋体" w:hAnsi="Times New Roman" w:eastAsia="宋体" w:cs="宋体"/>
          <w:b/>
          <w:bCs/>
          <w:kern w:val="0"/>
          <w:szCs w:val="21"/>
        </w:rPr>
      </w:pPr>
      <w:r>
        <w:rPr>
          <w:rFonts w:hint="eastAsia" w:ascii="宋体" w:hAnsi="Times New Roman" w:eastAsia="宋体" w:cs="宋体"/>
          <w:b/>
          <w:bCs/>
          <w:kern w:val="0"/>
          <w:szCs w:val="21"/>
        </w:rPr>
        <w:t>合计金额等于开标一览表中的投标总报价。</w:t>
      </w:r>
    </w:p>
    <w:p/>
    <w:p>
      <w:pPr>
        <w:rPr>
          <w:rFonts w:ascii="宋体" w:hAnsi="Times New Roman" w:eastAsia="宋体" w:cs="宋体"/>
          <w:b/>
          <w:kern w:val="0"/>
          <w:sz w:val="24"/>
          <w:szCs w:val="24"/>
        </w:rPr>
      </w:pPr>
      <w:r>
        <w:rPr>
          <w:rFonts w:hint="eastAsia" w:ascii="宋体" w:hAnsi="Times New Roman" w:eastAsia="宋体" w:cs="宋体"/>
          <w:b/>
          <w:kern w:val="0"/>
          <w:sz w:val="24"/>
          <w:szCs w:val="24"/>
        </w:rPr>
        <w:br w:type="page"/>
      </w:r>
    </w:p>
    <w:p>
      <w:pPr>
        <w:widowControl/>
        <w:shd w:val="clear" w:color="auto" w:fill="FFFFFF"/>
        <w:tabs>
          <w:tab w:val="left" w:pos="426"/>
        </w:tabs>
        <w:spacing w:before="280" w:after="290" w:line="377" w:lineRule="auto"/>
        <w:ind w:firstLine="482"/>
        <w:jc w:val="center"/>
        <w:outlineLvl w:val="2"/>
        <w:rPr>
          <w:rFonts w:ascii="宋体" w:hAnsi="Times New Roman" w:eastAsia="宋体" w:cs="宋体"/>
          <w:b/>
          <w:kern w:val="0"/>
          <w:sz w:val="24"/>
          <w:szCs w:val="24"/>
        </w:rPr>
      </w:pPr>
      <w:r>
        <w:rPr>
          <w:rFonts w:hint="eastAsia" w:ascii="宋体" w:hAnsi="Times New Roman" w:eastAsia="宋体" w:cs="宋体"/>
          <w:b/>
          <w:kern w:val="0"/>
          <w:sz w:val="24"/>
          <w:szCs w:val="24"/>
        </w:rPr>
        <w:t>技术</w:t>
      </w:r>
      <w:bookmarkEnd w:id="100"/>
      <w:bookmarkEnd w:id="101"/>
      <w:r>
        <w:rPr>
          <w:rFonts w:hint="eastAsia" w:ascii="宋体" w:hAnsi="Times New Roman" w:eastAsia="宋体" w:cs="宋体"/>
          <w:b/>
          <w:kern w:val="0"/>
          <w:sz w:val="24"/>
          <w:szCs w:val="24"/>
        </w:rPr>
        <w:t>标</w:t>
      </w:r>
      <w:bookmarkEnd w:id="102"/>
      <w:bookmarkEnd w:id="103"/>
    </w:p>
    <w:p>
      <w:pPr>
        <w:pStyle w:val="6"/>
        <w:numPr>
          <w:ilvl w:val="0"/>
          <w:numId w:val="45"/>
        </w:numPr>
        <w:jc w:val="left"/>
      </w:pPr>
      <w:r>
        <w:rPr>
          <w:rFonts w:hint="eastAsia"/>
        </w:rPr>
        <w:t>、实施方案</w:t>
      </w:r>
    </w:p>
    <w:p>
      <w:pPr>
        <w:pStyle w:val="6"/>
        <w:numPr>
          <w:ilvl w:val="0"/>
          <w:numId w:val="45"/>
        </w:numPr>
        <w:jc w:val="left"/>
      </w:pPr>
      <w:r>
        <w:rPr>
          <w:rFonts w:hint="eastAsia"/>
        </w:rPr>
        <w:t>、项目重难点分析及解决方案</w:t>
      </w:r>
    </w:p>
    <w:p>
      <w:pPr>
        <w:pStyle w:val="6"/>
        <w:numPr>
          <w:ilvl w:val="0"/>
          <w:numId w:val="45"/>
        </w:numPr>
        <w:jc w:val="left"/>
      </w:pPr>
      <w:r>
        <w:rPr>
          <w:rFonts w:hint="eastAsia"/>
        </w:rPr>
        <w:t>、各种有针对性的应急处突方案</w:t>
      </w:r>
    </w:p>
    <w:p>
      <w:pPr>
        <w:pStyle w:val="6"/>
        <w:numPr>
          <w:ilvl w:val="0"/>
          <w:numId w:val="45"/>
        </w:numPr>
        <w:jc w:val="left"/>
      </w:pPr>
      <w:r>
        <w:rPr>
          <w:rFonts w:hint="eastAsia"/>
        </w:rPr>
        <w:t>、违约承诺</w:t>
      </w:r>
    </w:p>
    <w:p>
      <w:pPr>
        <w:rPr>
          <w:rFonts w:ascii="宋体" w:hAnsi="宋体" w:eastAsia="宋体"/>
          <w:b/>
          <w:bCs/>
          <w:sz w:val="28"/>
          <w:szCs w:val="28"/>
        </w:rPr>
      </w:pPr>
      <w:r>
        <w:rPr>
          <w:rFonts w:hint="eastAsia" w:ascii="宋体" w:hAnsi="宋体" w:eastAsia="宋体"/>
          <w:b/>
          <w:bCs/>
          <w:sz w:val="28"/>
          <w:szCs w:val="28"/>
        </w:rPr>
        <w:t>（以上投标文件编制节点，请依据《评分细则表》的要求提交相应资料，格式自定）</w:t>
      </w:r>
    </w:p>
    <w:p>
      <w:pPr>
        <w:widowControl/>
        <w:jc w:val="left"/>
        <w:rPr>
          <w:rFonts w:ascii="宋体" w:hAnsi="宋体" w:eastAsia="宋体" w:cs="宋体"/>
          <w:bCs/>
          <w:kern w:val="0"/>
          <w:szCs w:val="24"/>
        </w:rPr>
      </w:pPr>
    </w:p>
    <w:p>
      <w:pPr>
        <w:widowControl/>
        <w:shd w:val="clear" w:color="auto" w:fill="FFFFFF"/>
        <w:tabs>
          <w:tab w:val="left" w:pos="426"/>
        </w:tabs>
        <w:spacing w:before="280" w:after="290" w:line="377" w:lineRule="auto"/>
        <w:ind w:firstLine="482"/>
        <w:jc w:val="center"/>
        <w:outlineLvl w:val="2"/>
        <w:rPr>
          <w:rFonts w:ascii="宋体" w:hAnsi="Times New Roman" w:eastAsia="宋体" w:cs="宋体"/>
          <w:b/>
          <w:kern w:val="0"/>
          <w:sz w:val="24"/>
          <w:szCs w:val="24"/>
        </w:rPr>
      </w:pPr>
      <w:bookmarkStart w:id="104" w:name="_Toc36829694"/>
      <w:bookmarkStart w:id="105" w:name="_Toc37168509"/>
      <w:r>
        <w:rPr>
          <w:rFonts w:ascii="宋体" w:hAnsi="Times New Roman" w:eastAsia="宋体" w:cs="宋体"/>
          <w:b/>
          <w:kern w:val="0"/>
          <w:sz w:val="24"/>
          <w:szCs w:val="24"/>
        </w:rPr>
        <w:br w:type="page"/>
      </w:r>
      <w:bookmarkStart w:id="106" w:name="_Toc167352562"/>
      <w:bookmarkStart w:id="107" w:name="_Toc150794122"/>
      <w:r>
        <w:rPr>
          <w:rFonts w:hint="eastAsia" w:ascii="宋体" w:hAnsi="Times New Roman" w:eastAsia="宋体" w:cs="宋体"/>
          <w:b/>
          <w:kern w:val="0"/>
          <w:sz w:val="24"/>
          <w:szCs w:val="24"/>
        </w:rPr>
        <w:t>商务标</w:t>
      </w:r>
      <w:bookmarkEnd w:id="104"/>
      <w:bookmarkEnd w:id="105"/>
      <w:bookmarkEnd w:id="106"/>
      <w:bookmarkEnd w:id="107"/>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bookmarkStart w:id="108" w:name="_Toc28864614"/>
      <w:bookmarkStart w:id="109" w:name="_Toc518464370"/>
      <w:bookmarkStart w:id="110" w:name="_Toc36822688"/>
      <w:bookmarkStart w:id="111" w:name="_Toc528675182"/>
      <w:bookmarkStart w:id="112" w:name="_Toc528170810"/>
      <w:bookmarkStart w:id="113" w:name="_Toc25308077"/>
      <w:r>
        <w:rPr>
          <w:rFonts w:hint="eastAsia" w:ascii="Arial" w:hAnsi="Arial" w:eastAsia="黑体" w:cs="Times New Roman"/>
          <w:b/>
          <w:bCs/>
          <w:sz w:val="28"/>
          <w:szCs w:val="28"/>
        </w:rPr>
        <w:t>、投标函</w:t>
      </w:r>
      <w:bookmarkEnd w:id="108"/>
      <w:bookmarkEnd w:id="109"/>
      <w:bookmarkEnd w:id="110"/>
      <w:bookmarkEnd w:id="111"/>
      <w:bookmarkEnd w:id="112"/>
      <w:bookmarkEnd w:id="113"/>
    </w:p>
    <w:p>
      <w:pPr>
        <w:spacing w:line="300" w:lineRule="auto"/>
        <w:ind w:firstLine="640"/>
        <w:jc w:val="center"/>
        <w:rPr>
          <w:rFonts w:ascii="宋体" w:hAnsi="Times New Roman" w:eastAsia="宋体" w:cs="Times New Roman"/>
          <w:bCs/>
          <w:sz w:val="32"/>
          <w:szCs w:val="32"/>
        </w:rPr>
      </w:pPr>
      <w:bookmarkStart w:id="114" w:name="_Toc201743120"/>
      <w:bookmarkStart w:id="115" w:name="_Toc201997950"/>
      <w:bookmarkStart w:id="116" w:name="_Toc201719122"/>
      <w:bookmarkStart w:id="117" w:name="_Toc201742865"/>
      <w:r>
        <w:rPr>
          <w:rFonts w:hint="eastAsia" w:ascii="宋体" w:hAnsi="Times New Roman" w:eastAsia="宋体" w:cs="Times New Roman"/>
          <w:bCs/>
          <w:sz w:val="32"/>
          <w:szCs w:val="32"/>
        </w:rPr>
        <w:t>投标函</w:t>
      </w:r>
      <w:bookmarkEnd w:id="114"/>
      <w:bookmarkEnd w:id="115"/>
      <w:bookmarkEnd w:id="116"/>
      <w:bookmarkEnd w:id="117"/>
    </w:p>
    <w:p>
      <w:pPr>
        <w:widowControl/>
        <w:shd w:val="clear" w:color="auto" w:fill="FFFFFF"/>
        <w:adjustRightInd w:val="0"/>
        <w:snapToGrid w:val="0"/>
        <w:spacing w:line="300" w:lineRule="auto"/>
        <w:rPr>
          <w:rFonts w:ascii="宋体" w:hAnsi="Times New Roman" w:eastAsia="宋体" w:cs="宋体"/>
          <w:kern w:val="0"/>
          <w:szCs w:val="21"/>
        </w:rPr>
      </w:pPr>
    </w:p>
    <w:p>
      <w:pPr>
        <w:widowControl/>
        <w:shd w:val="clear" w:color="auto" w:fill="FFFFFF"/>
        <w:adjustRightInd w:val="0"/>
        <w:snapToGrid w:val="0"/>
        <w:spacing w:line="300" w:lineRule="auto"/>
        <w:rPr>
          <w:rFonts w:ascii="宋体" w:hAnsi="Times New Roman" w:eastAsia="宋体" w:cs="宋体"/>
          <w:kern w:val="0"/>
          <w:szCs w:val="21"/>
        </w:rPr>
      </w:pPr>
      <w:r>
        <w:rPr>
          <w:rFonts w:hint="eastAsia" w:ascii="宋体" w:hAnsi="Times New Roman" w:eastAsia="宋体" w:cs="宋体"/>
          <w:kern w:val="0"/>
          <w:szCs w:val="21"/>
        </w:rPr>
        <w:t>致：</w:t>
      </w:r>
      <w:r>
        <w:rPr>
          <w:rFonts w:hint="eastAsia" w:ascii="宋体" w:hAnsi="Times New Roman" w:eastAsia="宋体" w:cs="宋体"/>
          <w:kern w:val="0"/>
          <w:szCs w:val="21"/>
          <w:u w:val="single"/>
        </w:rPr>
        <w:t>深圳市</w:t>
      </w:r>
      <w:r>
        <w:rPr>
          <w:rFonts w:ascii="宋体" w:hAnsi="Times New Roman" w:eastAsia="宋体" w:cs="宋体"/>
          <w:kern w:val="0"/>
          <w:szCs w:val="21"/>
          <w:u w:val="single"/>
        </w:rPr>
        <w:t>深水水务咨询有限公司</w:t>
      </w:r>
    </w:p>
    <w:p>
      <w:pPr>
        <w:widowControl/>
        <w:shd w:val="clear" w:color="auto" w:fill="FFFFFF"/>
        <w:tabs>
          <w:tab w:val="left" w:pos="426"/>
        </w:tabs>
        <w:adjustRightInd w:val="0"/>
        <w:snapToGrid w:val="0"/>
        <w:spacing w:after="231" w:afterLines="50" w:line="36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1.根据已收到贵方</w:t>
      </w:r>
      <w:r>
        <w:rPr>
          <w:rFonts w:ascii="Times New Roman" w:hAnsi="Times New Roman" w:eastAsia="宋体" w:cs="Times New Roman"/>
          <w:kern w:val="0"/>
          <w:szCs w:val="24"/>
        </w:rPr>
        <w:t>采购项目编号为</w:t>
      </w:r>
      <w:r>
        <w:rPr>
          <w:rFonts w:ascii="Times New Roman" w:hAnsi="Times New Roman" w:eastAsia="宋体" w:cs="Times New Roman"/>
          <w:kern w:val="0"/>
          <w:szCs w:val="24"/>
          <w:u w:val="single"/>
        </w:rPr>
        <w:t xml:space="preserve">            </w:t>
      </w:r>
      <w:r>
        <w:rPr>
          <w:rFonts w:ascii="Times New Roman" w:hAnsi="Times New Roman" w:eastAsia="宋体" w:cs="Times New Roman"/>
          <w:kern w:val="0"/>
          <w:szCs w:val="24"/>
        </w:rPr>
        <w:t>的</w:t>
      </w:r>
      <w:r>
        <w:rPr>
          <w:rFonts w:ascii="Times New Roman" w:hAnsi="Times New Roman" w:eastAsia="宋体" w:cs="Times New Roman"/>
          <w:kern w:val="0"/>
          <w:szCs w:val="24"/>
          <w:u w:val="single"/>
        </w:rPr>
        <w:t xml:space="preserve">            </w:t>
      </w:r>
      <w:r>
        <w:rPr>
          <w:rFonts w:ascii="Times New Roman" w:hAnsi="Times New Roman" w:eastAsia="宋体" w:cs="Times New Roman"/>
          <w:kern w:val="0"/>
          <w:szCs w:val="24"/>
        </w:rPr>
        <w:t>项目</w:t>
      </w:r>
      <w:r>
        <w:rPr>
          <w:rFonts w:hint="eastAsia" w:ascii="Times New Roman" w:hAnsi="Times New Roman" w:eastAsia="宋体" w:cs="Times New Roman"/>
          <w:kern w:val="0"/>
          <w:szCs w:val="24"/>
        </w:rPr>
        <w:t>的</w:t>
      </w:r>
      <w:r>
        <w:rPr>
          <w:rFonts w:hint="eastAsia" w:ascii="宋体" w:hAnsi="Times New Roman" w:eastAsia="宋体" w:cs="宋体"/>
          <w:kern w:val="0"/>
          <w:szCs w:val="21"/>
        </w:rPr>
        <w:t>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pPr>
        <w:widowControl/>
        <w:shd w:val="clear" w:color="auto" w:fill="FFFFFF"/>
        <w:tabs>
          <w:tab w:val="left" w:pos="426"/>
        </w:tabs>
        <w:adjustRightInd w:val="0"/>
        <w:snapToGrid w:val="0"/>
        <w:spacing w:after="231" w:afterLines="50" w:line="360" w:lineRule="auto"/>
        <w:ind w:firstLine="420" w:firstLineChars="200"/>
        <w:rPr>
          <w:rFonts w:ascii="宋体" w:hAnsi="Times New Roman" w:eastAsia="宋体" w:cs="宋体"/>
          <w:kern w:val="0"/>
          <w:szCs w:val="21"/>
        </w:rPr>
      </w:pPr>
      <w:r>
        <w:rPr>
          <w:rFonts w:ascii="宋体" w:hAnsi="Times New Roman" w:eastAsia="宋体" w:cs="宋体"/>
          <w:kern w:val="0"/>
          <w:szCs w:val="21"/>
        </w:rPr>
        <w:t>2</w:t>
      </w:r>
      <w:r>
        <w:rPr>
          <w:rFonts w:hint="eastAsia" w:ascii="宋体" w:hAnsi="Times New Roman" w:eastAsia="宋体" w:cs="宋体"/>
          <w:kern w:val="0"/>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widowControl/>
        <w:shd w:val="clear" w:color="auto" w:fill="FFFFFF"/>
        <w:tabs>
          <w:tab w:val="left" w:pos="426"/>
        </w:tabs>
        <w:adjustRightInd w:val="0"/>
        <w:snapToGrid w:val="0"/>
        <w:spacing w:after="231" w:afterLines="50" w:line="360" w:lineRule="auto"/>
        <w:ind w:firstLine="411" w:firstLineChars="196"/>
        <w:rPr>
          <w:rFonts w:ascii="宋体" w:hAnsi="Times New Roman" w:eastAsia="宋体" w:cs="宋体"/>
          <w:kern w:val="0"/>
          <w:szCs w:val="21"/>
        </w:rPr>
      </w:pPr>
      <w:r>
        <w:rPr>
          <w:rFonts w:ascii="宋体" w:hAnsi="Times New Roman" w:eastAsia="宋体" w:cs="宋体"/>
          <w:kern w:val="0"/>
          <w:szCs w:val="21"/>
        </w:rPr>
        <w:t>3</w:t>
      </w:r>
      <w:r>
        <w:rPr>
          <w:rFonts w:hint="eastAsia" w:ascii="宋体" w:hAnsi="Times New Roman" w:eastAsia="宋体" w:cs="宋体"/>
          <w:kern w:val="0"/>
          <w:szCs w:val="21"/>
        </w:rPr>
        <w:t>.我方同意所递交的投标文件在“对通用条款的补充内容”中的投标有效期内有效，在此期间内我方的投标有可能中标，我方将受此约束。如果在投标有效期内撤回其投标，自行承担一切后果。</w:t>
      </w:r>
    </w:p>
    <w:p>
      <w:pPr>
        <w:widowControl/>
        <w:shd w:val="clear" w:color="auto" w:fill="FFFFFF"/>
        <w:tabs>
          <w:tab w:val="left" w:pos="426"/>
        </w:tabs>
        <w:adjustRightInd w:val="0"/>
        <w:snapToGrid w:val="0"/>
        <w:spacing w:after="231" w:afterLines="50" w:line="360" w:lineRule="auto"/>
        <w:ind w:firstLine="411" w:firstLineChars="196"/>
        <w:rPr>
          <w:rFonts w:ascii="宋体" w:hAnsi="Times New Roman" w:eastAsia="宋体" w:cs="宋体"/>
          <w:kern w:val="0"/>
          <w:szCs w:val="21"/>
        </w:rPr>
      </w:pPr>
      <w:r>
        <w:rPr>
          <w:rFonts w:ascii="宋体" w:hAnsi="Times New Roman" w:eastAsia="宋体" w:cs="宋体"/>
          <w:kern w:val="0"/>
          <w:szCs w:val="21"/>
        </w:rPr>
        <w:t>4</w:t>
      </w:r>
      <w:r>
        <w:rPr>
          <w:rFonts w:hint="eastAsia" w:ascii="宋体" w:hAnsi="Times New Roman" w:eastAsia="宋体" w:cs="宋体"/>
          <w:kern w:val="0"/>
          <w:szCs w:val="21"/>
        </w:rPr>
        <w:t>.除非另外达成协议并生效，贵方的中标通知书和本投标文件将构成约束我们双方的合同。</w:t>
      </w:r>
    </w:p>
    <w:p>
      <w:pPr>
        <w:widowControl/>
        <w:shd w:val="clear" w:color="auto" w:fill="FFFFFF"/>
        <w:tabs>
          <w:tab w:val="left" w:pos="426"/>
        </w:tabs>
        <w:adjustRightInd w:val="0"/>
        <w:snapToGrid w:val="0"/>
        <w:spacing w:after="231" w:afterLines="50" w:line="360" w:lineRule="auto"/>
        <w:ind w:firstLine="420" w:firstLineChars="200"/>
        <w:rPr>
          <w:rFonts w:ascii="宋体" w:hAnsi="Times New Roman" w:eastAsia="宋体" w:cs="宋体"/>
          <w:kern w:val="0"/>
          <w:szCs w:val="21"/>
        </w:rPr>
      </w:pPr>
      <w:r>
        <w:rPr>
          <w:rFonts w:ascii="宋体" w:hAnsi="Times New Roman" w:eastAsia="宋体" w:cs="宋体"/>
          <w:kern w:val="0"/>
          <w:szCs w:val="21"/>
        </w:rPr>
        <w:t>5</w:t>
      </w:r>
      <w:r>
        <w:rPr>
          <w:rFonts w:hint="eastAsia" w:ascii="宋体" w:hAnsi="Times New Roman" w:eastAsia="宋体" w:cs="宋体"/>
          <w:kern w:val="0"/>
          <w:szCs w:val="21"/>
        </w:rPr>
        <w:t>.我方理解贵方将不受必须接受你们所收到的最低标价或其它任何投标文件的约束。</w:t>
      </w:r>
    </w:p>
    <w:p>
      <w:pPr>
        <w:widowControl/>
        <w:shd w:val="clear" w:color="auto" w:fill="FFFFFF"/>
        <w:adjustRightInd w:val="0"/>
        <w:snapToGrid w:val="0"/>
        <w:spacing w:line="300" w:lineRule="auto"/>
        <w:ind w:firstLine="630" w:firstLineChars="300"/>
        <w:rPr>
          <w:rFonts w:ascii="宋体" w:hAnsi="Times New Roman" w:eastAsia="宋体" w:cs="宋体"/>
          <w:kern w:val="0"/>
          <w:szCs w:val="21"/>
        </w:rPr>
      </w:pPr>
      <w:r>
        <w:rPr>
          <w:rFonts w:hint="eastAsia" w:ascii="宋体" w:hAnsi="Times New Roman" w:eastAsia="宋体" w:cs="宋体"/>
          <w:kern w:val="0"/>
          <w:szCs w:val="21"/>
        </w:rPr>
        <w:t>地址：</w:t>
      </w:r>
      <w:r>
        <w:rPr>
          <w:rFonts w:hint="eastAsia" w:ascii="宋体" w:hAnsi="Times New Roman" w:eastAsia="宋体" w:cs="宋体"/>
          <w:kern w:val="0"/>
          <w:szCs w:val="21"/>
          <w:u w:val="single"/>
        </w:rPr>
        <w:t>______________________</w:t>
      </w:r>
      <w:r>
        <w:rPr>
          <w:rFonts w:hint="eastAsia" w:ascii="宋体" w:hAnsi="Times New Roman" w:eastAsia="宋体" w:cs="宋体"/>
          <w:kern w:val="0"/>
          <w:szCs w:val="21"/>
        </w:rPr>
        <w:t>电话：</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00" w:lineRule="auto"/>
        <w:ind w:firstLine="630" w:firstLineChars="300"/>
        <w:rPr>
          <w:rFonts w:ascii="宋体" w:hAnsi="Times New Roman" w:eastAsia="宋体" w:cs="宋体"/>
          <w:kern w:val="0"/>
          <w:szCs w:val="21"/>
          <w:u w:val="single"/>
        </w:rPr>
      </w:pPr>
      <w:r>
        <w:rPr>
          <w:rFonts w:hint="eastAsia" w:ascii="宋体" w:hAnsi="Times New Roman" w:eastAsia="宋体" w:cs="宋体"/>
          <w:kern w:val="0"/>
          <w:szCs w:val="21"/>
        </w:rPr>
        <w:t>投标供应商名称（公章）：</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00" w:lineRule="auto"/>
        <w:ind w:firstLine="630" w:firstLineChars="300"/>
        <w:rPr>
          <w:rFonts w:ascii="宋体" w:hAnsi="Times New Roman" w:eastAsia="宋体" w:cs="宋体"/>
          <w:kern w:val="0"/>
          <w:szCs w:val="21"/>
          <w:u w:val="single"/>
        </w:rPr>
      </w:pPr>
      <w:r>
        <w:rPr>
          <w:rFonts w:hint="eastAsia" w:ascii="宋体" w:hAnsi="Times New Roman" w:eastAsia="宋体" w:cs="宋体"/>
          <w:kern w:val="0"/>
          <w:szCs w:val="21"/>
        </w:rPr>
        <w:t xml:space="preserve">投标供应商代表（签字)： </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00" w:lineRule="auto"/>
        <w:ind w:firstLine="630" w:firstLineChars="300"/>
        <w:rPr>
          <w:rFonts w:ascii="宋体" w:hAnsi="Times New Roman" w:eastAsia="宋体" w:cs="宋体"/>
          <w:kern w:val="0"/>
          <w:szCs w:val="21"/>
          <w:u w:val="single"/>
        </w:rPr>
      </w:pPr>
      <w:r>
        <w:rPr>
          <w:rFonts w:hint="eastAsia" w:ascii="宋体" w:hAnsi="Times New Roman" w:eastAsia="宋体" w:cs="宋体"/>
          <w:kern w:val="0"/>
          <w:szCs w:val="21"/>
        </w:rPr>
        <w:t>日期：</w:t>
      </w:r>
      <w:r>
        <w:rPr>
          <w:rFonts w:hint="eastAsia" w:ascii="宋体" w:hAnsi="Times New Roman" w:eastAsia="宋体" w:cs="宋体"/>
          <w:kern w:val="0"/>
          <w:szCs w:val="21"/>
          <w:u w:val="single"/>
        </w:rPr>
        <w:t>______________________</w:t>
      </w:r>
    </w:p>
    <w:p>
      <w:pPr>
        <w:widowControl/>
        <w:jc w:val="left"/>
        <w:rPr>
          <w:rFonts w:ascii="宋体" w:hAnsi="Times New Roman" w:eastAsia="宋体" w:cs="宋体"/>
          <w:kern w:val="0"/>
          <w:szCs w:val="21"/>
        </w:rPr>
      </w:pPr>
      <w:r>
        <w:rPr>
          <w:rFonts w:ascii="宋体" w:hAnsi="Times New Roman" w:eastAsia="宋体" w:cs="宋体"/>
          <w:kern w:val="0"/>
          <w:szCs w:val="21"/>
        </w:rPr>
        <w:br w:type="page"/>
      </w:r>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bookmarkStart w:id="118" w:name="_Toc36822689"/>
      <w:r>
        <w:rPr>
          <w:rFonts w:hint="eastAsia" w:ascii="Arial" w:hAnsi="Arial" w:eastAsia="黑体" w:cs="Times New Roman"/>
          <w:b/>
          <w:bCs/>
          <w:sz w:val="28"/>
          <w:szCs w:val="28"/>
        </w:rPr>
        <w:t>、投标及履约承诺函</w:t>
      </w:r>
      <w:bookmarkEnd w:id="118"/>
    </w:p>
    <w:p>
      <w:pPr>
        <w:spacing w:line="300" w:lineRule="auto"/>
        <w:ind w:firstLine="640"/>
        <w:jc w:val="center"/>
        <w:rPr>
          <w:rFonts w:ascii="宋体" w:hAnsi="Times New Roman" w:eastAsia="宋体" w:cs="Times New Roman"/>
          <w:bCs/>
          <w:sz w:val="32"/>
          <w:szCs w:val="32"/>
        </w:rPr>
      </w:pPr>
      <w:r>
        <w:rPr>
          <w:rFonts w:hint="eastAsia" w:ascii="宋体" w:hAnsi="Times New Roman" w:eastAsia="宋体" w:cs="Times New Roman"/>
          <w:bCs/>
          <w:sz w:val="32"/>
          <w:szCs w:val="32"/>
        </w:rPr>
        <w:t>投标及履约承诺函</w:t>
      </w:r>
    </w:p>
    <w:p>
      <w:pPr>
        <w:widowControl/>
        <w:shd w:val="clear" w:color="auto" w:fill="FFFFFF"/>
        <w:adjustRightInd w:val="0"/>
        <w:snapToGrid w:val="0"/>
        <w:spacing w:line="360" w:lineRule="auto"/>
        <w:rPr>
          <w:rFonts w:ascii="Times New Roman" w:hAnsi="Times New Roman" w:eastAsia="宋体" w:cs="Times New Roman"/>
          <w:kern w:val="0"/>
          <w:szCs w:val="24"/>
        </w:rPr>
      </w:pPr>
      <w:r>
        <w:rPr>
          <w:rFonts w:ascii="Times New Roman" w:hAnsi="Times New Roman" w:eastAsia="宋体" w:cs="Times New Roman"/>
          <w:kern w:val="0"/>
          <w:szCs w:val="24"/>
        </w:rPr>
        <w:t>致：深圳市深水水务咨询有限公司：</w:t>
      </w:r>
    </w:p>
    <w:p>
      <w:pPr>
        <w:widowControl/>
        <w:shd w:val="clear" w:color="auto" w:fill="FFFFFF"/>
        <w:adjustRightInd w:val="0"/>
        <w:snapToGrid w:val="0"/>
        <w:spacing w:line="360" w:lineRule="auto"/>
        <w:ind w:firstLine="424" w:firstLineChars="202"/>
        <w:rPr>
          <w:rFonts w:ascii="Times New Roman" w:hAnsi="Times New Roman" w:eastAsia="宋体" w:cs="Times New Roman"/>
          <w:kern w:val="0"/>
          <w:szCs w:val="24"/>
        </w:rPr>
      </w:pPr>
      <w:r>
        <w:rPr>
          <w:rFonts w:ascii="Times New Roman" w:hAnsi="Times New Roman" w:eastAsia="宋体" w:cs="Times New Roman"/>
          <w:kern w:val="0"/>
          <w:szCs w:val="24"/>
        </w:rPr>
        <w:t>关于贵公司</w:t>
      </w:r>
      <w:r>
        <w:rPr>
          <w:rFonts w:ascii="Times New Roman" w:hAnsi="Times New Roman" w:eastAsia="宋体" w:cs="Times New Roman"/>
          <w:kern w:val="0"/>
          <w:szCs w:val="24"/>
          <w:u w:val="single"/>
        </w:rPr>
        <w:t xml:space="preserve">      </w:t>
      </w:r>
      <w:r>
        <w:rPr>
          <w:rFonts w:ascii="Times New Roman" w:hAnsi="Times New Roman" w:eastAsia="宋体" w:cs="Times New Roman"/>
          <w:kern w:val="0"/>
          <w:szCs w:val="24"/>
        </w:rPr>
        <w:t>年</w:t>
      </w:r>
      <w:r>
        <w:rPr>
          <w:rFonts w:ascii="Times New Roman" w:hAnsi="Times New Roman" w:eastAsia="宋体" w:cs="Times New Roman"/>
          <w:kern w:val="0"/>
          <w:szCs w:val="24"/>
          <w:u w:val="single"/>
        </w:rPr>
        <w:t xml:space="preserve">    </w:t>
      </w:r>
      <w:r>
        <w:rPr>
          <w:rFonts w:ascii="Times New Roman" w:hAnsi="Times New Roman" w:eastAsia="宋体" w:cs="Times New Roman"/>
          <w:kern w:val="0"/>
          <w:szCs w:val="24"/>
        </w:rPr>
        <w:t>月</w:t>
      </w:r>
      <w:r>
        <w:rPr>
          <w:rFonts w:ascii="Times New Roman" w:hAnsi="Times New Roman" w:eastAsia="宋体" w:cs="Times New Roman"/>
          <w:kern w:val="0"/>
          <w:szCs w:val="24"/>
          <w:u w:val="single"/>
        </w:rPr>
        <w:t xml:space="preserve">    </w:t>
      </w:r>
      <w:r>
        <w:rPr>
          <w:rFonts w:ascii="Times New Roman" w:hAnsi="Times New Roman" w:eastAsia="宋体" w:cs="Times New Roman"/>
          <w:kern w:val="0"/>
          <w:szCs w:val="24"/>
        </w:rPr>
        <w:t>日发布</w:t>
      </w:r>
      <w:r>
        <w:rPr>
          <w:rFonts w:ascii="Times New Roman" w:hAnsi="Times New Roman" w:eastAsia="宋体" w:cs="Times New Roman"/>
          <w:kern w:val="0"/>
          <w:szCs w:val="21"/>
          <w:u w:val="single"/>
        </w:rPr>
        <w:t xml:space="preserve">（项目名称) </w:t>
      </w:r>
      <w:r>
        <w:rPr>
          <w:rFonts w:ascii="Times New Roman" w:hAnsi="Times New Roman" w:eastAsia="宋体" w:cs="Times New Roman"/>
          <w:kern w:val="0"/>
          <w:szCs w:val="24"/>
        </w:rPr>
        <w:t>项目（采购项目编号：</w:t>
      </w:r>
      <w:r>
        <w:rPr>
          <w:rFonts w:ascii="Times New Roman" w:hAnsi="Times New Roman" w:eastAsia="宋体" w:cs="Times New Roman"/>
          <w:kern w:val="0"/>
          <w:szCs w:val="24"/>
          <w:u w:val="single"/>
        </w:rPr>
        <w:t>（采购项目编号）</w:t>
      </w:r>
      <w:r>
        <w:rPr>
          <w:rFonts w:ascii="Times New Roman" w:hAnsi="Times New Roman" w:eastAsia="宋体" w:cs="Times New Roman"/>
          <w:kern w:val="0"/>
          <w:szCs w:val="24"/>
        </w:rPr>
        <w:t>）的采购公告，本公司（企业）愿意参加投标，并声明：</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我单位承诺：</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1.我单位参与本项目所投标（响应）的货物、工程或服务，不存在侵犯知识产权的情况；已知悉并同意中标（成交）结果信息公示（公开）的内容。</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2.我单位参与该项目投标，符合招标文件关于联合体及进口产品的相关资格要求。</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3.我单位参与本项目政府采购活动时不存在被有关部门禁止参与政府采购活动且在有效期内的情况。</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4</w:t>
      </w:r>
      <w:r>
        <w:rPr>
          <w:rFonts w:ascii="宋体" w:hAnsi="Times New Roman" w:eastAsia="宋体" w:cs="宋体"/>
          <w:kern w:val="0"/>
          <w:szCs w:val="24"/>
        </w:rPr>
        <w:t>.</w:t>
      </w:r>
      <w:r>
        <w:rPr>
          <w:rFonts w:hint="eastAsia" w:ascii="宋体" w:hAnsi="Times New Roman" w:eastAsia="宋体" w:cs="宋体"/>
          <w:kern w:val="0"/>
          <w:szCs w:val="24"/>
        </w:rPr>
        <w:t>我单位参与本项目投标前三年内，在经营活动中没有重大违法记录。</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ascii="宋体" w:hAnsi="Times New Roman" w:eastAsia="宋体" w:cs="宋体"/>
          <w:kern w:val="0"/>
          <w:szCs w:val="24"/>
        </w:rPr>
        <w:t>5</w:t>
      </w:r>
      <w:r>
        <w:rPr>
          <w:rFonts w:hint="eastAsia" w:ascii="宋体" w:hAnsi="Times New Roman" w:eastAsia="宋体" w:cs="宋体"/>
          <w:kern w:val="0"/>
          <w:szCs w:val="24"/>
        </w:rPr>
        <w:t>.我单位具备《中华人民共和国政府采购法》第二十二条的条件。</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ascii="宋体" w:hAnsi="Times New Roman" w:eastAsia="宋体" w:cs="宋体"/>
          <w:kern w:val="0"/>
          <w:szCs w:val="24"/>
        </w:rPr>
        <w:t>6</w:t>
      </w:r>
      <w:r>
        <w:rPr>
          <w:rFonts w:hint="eastAsia" w:ascii="宋体" w:hAnsi="Times New Roman" w:eastAsia="宋体" w:cs="宋体"/>
          <w:kern w:val="0"/>
          <w:szCs w:val="24"/>
        </w:rPr>
        <w:t>.我单位未被列入失信被执行人、重大税收违法案件当事人名单（重大税收违法失信主体）、政府采购严重违法失信行为记录名单。</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7.我单位参与本项目投标近三年内，在经营活动中没有发生重大安全和质量事故。</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10.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12.我单位承诺中标后项目不转包，未经采购人同意不进行分包。</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14.我单位保证，若所投货物涉及《财政部生态环境部关于印发节能产品政府采购品目清单的通知》（财库〔2019〕19号）列明的政府采购强制产品，则所投该产品符合节能产品的认证要求。</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15.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以上承诺，如有违反，愿依照国家相关法律处理，并承担由此给采购人带来的损失。</w:t>
      </w:r>
    </w:p>
    <w:p>
      <w:pPr>
        <w:widowControl/>
        <w:shd w:val="clear" w:color="auto" w:fill="FFFFFF"/>
        <w:adjustRightInd w:val="0"/>
        <w:snapToGrid w:val="0"/>
        <w:spacing w:line="360" w:lineRule="auto"/>
        <w:ind w:firstLine="420"/>
        <w:rPr>
          <w:rFonts w:ascii="宋体" w:hAnsi="Times New Roman" w:eastAsia="宋体" w:cs="宋体"/>
          <w:kern w:val="0"/>
          <w:szCs w:val="24"/>
        </w:rPr>
      </w:pPr>
      <w:r>
        <w:rPr>
          <w:rFonts w:hint="eastAsia" w:ascii="宋体" w:hAnsi="Times New Roman" w:eastAsia="宋体" w:cs="宋体"/>
          <w:kern w:val="0"/>
          <w:szCs w:val="24"/>
        </w:rPr>
        <w:t>特此声明！</w:t>
      </w:r>
    </w:p>
    <w:p>
      <w:pPr>
        <w:widowControl/>
        <w:shd w:val="clear" w:color="auto" w:fill="FFFFFF"/>
        <w:adjustRightInd w:val="0"/>
        <w:snapToGrid w:val="0"/>
        <w:spacing w:line="360" w:lineRule="auto"/>
        <w:ind w:firstLine="420"/>
        <w:rPr>
          <w:rFonts w:ascii="宋体" w:hAnsi="Times New Roman" w:eastAsia="宋体" w:cs="宋体"/>
          <w:kern w:val="0"/>
          <w:szCs w:val="24"/>
        </w:rPr>
      </w:pP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单位名称：</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法定代表人或投标供应商授权代表（签名或盖章）：</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单位地址：</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单位公章：</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邮政编码：</w:t>
      </w:r>
      <w:r>
        <w:rPr>
          <w:rFonts w:hint="eastAsia" w:ascii="宋体" w:hAnsi="Times New Roman" w:eastAsia="宋体" w:cs="宋体"/>
          <w:kern w:val="0"/>
          <w:szCs w:val="21"/>
          <w:u w:val="single"/>
        </w:rPr>
        <w:t>______________________</w:t>
      </w:r>
      <w:r>
        <w:rPr>
          <w:rFonts w:hint="eastAsia" w:ascii="宋体" w:hAnsi="Times New Roman" w:eastAsia="宋体" w:cs="宋体"/>
          <w:kern w:val="0"/>
          <w:szCs w:val="24"/>
        </w:rPr>
        <w:t>日期：</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firstLineChars="200"/>
        <w:rPr>
          <w:rFonts w:ascii="宋体" w:hAnsi="Times New Roman" w:eastAsia="宋体" w:cs="宋体"/>
          <w:kern w:val="0"/>
          <w:szCs w:val="24"/>
          <w:u w:val="single"/>
        </w:rPr>
      </w:pPr>
      <w:r>
        <w:rPr>
          <w:rFonts w:hint="eastAsia" w:ascii="宋体" w:hAnsi="Times New Roman" w:eastAsia="宋体" w:cs="宋体"/>
          <w:kern w:val="0"/>
          <w:szCs w:val="24"/>
        </w:rPr>
        <w:t>联系电话：</w:t>
      </w:r>
      <w:r>
        <w:rPr>
          <w:rFonts w:hint="eastAsia" w:ascii="宋体" w:hAnsi="Times New Roman" w:eastAsia="宋体" w:cs="宋体"/>
          <w:kern w:val="0"/>
          <w:szCs w:val="21"/>
          <w:u w:val="single"/>
        </w:rPr>
        <w:t>______________________</w:t>
      </w:r>
      <w:bookmarkStart w:id="119" w:name="_Toc36822690"/>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r>
        <w:rPr>
          <w:rFonts w:ascii="Arial" w:hAnsi="Calibri" w:eastAsia="黑体" w:cs="Times New Roman"/>
          <w:bCs/>
          <w:sz w:val="24"/>
          <w:szCs w:val="28"/>
        </w:rPr>
        <w:br w:type="page"/>
      </w:r>
      <w:bookmarkStart w:id="120" w:name="_Toc157893762"/>
      <w:r>
        <w:rPr>
          <w:rFonts w:hint="eastAsia" w:ascii="Arial" w:hAnsi="Arial" w:eastAsia="黑体" w:cs="Times New Roman"/>
          <w:b/>
          <w:bCs/>
          <w:sz w:val="28"/>
          <w:szCs w:val="28"/>
        </w:rPr>
        <w:t>、保密承诺书</w:t>
      </w:r>
      <w:bookmarkEnd w:id="120"/>
    </w:p>
    <w:p>
      <w:pPr>
        <w:widowControl/>
        <w:shd w:val="clear" w:color="auto" w:fill="FFFFFF"/>
        <w:tabs>
          <w:tab w:val="left" w:pos="426"/>
        </w:tabs>
        <w:adjustRightInd w:val="0"/>
        <w:snapToGrid w:val="0"/>
        <w:spacing w:line="300" w:lineRule="auto"/>
        <w:ind w:firstLine="640"/>
        <w:jc w:val="center"/>
        <w:rPr>
          <w:rFonts w:ascii="宋体" w:hAnsi="Times New Roman" w:eastAsia="宋体" w:cs="Times New Roman"/>
          <w:bCs/>
          <w:kern w:val="0"/>
          <w:sz w:val="32"/>
          <w:szCs w:val="32"/>
        </w:rPr>
      </w:pPr>
      <w:r>
        <w:rPr>
          <w:rFonts w:hint="eastAsia" w:ascii="宋体" w:hAnsi="Times New Roman" w:eastAsia="宋体" w:cs="Times New Roman"/>
          <w:bCs/>
          <w:kern w:val="0"/>
          <w:sz w:val="32"/>
          <w:szCs w:val="32"/>
        </w:rPr>
        <w:t>保密承诺书</w:t>
      </w:r>
    </w:p>
    <w:p>
      <w:pPr>
        <w:widowControl/>
        <w:shd w:val="clear" w:color="auto" w:fill="FFFFFF"/>
        <w:tabs>
          <w:tab w:val="left" w:pos="426"/>
        </w:tabs>
        <w:adjustRightInd w:val="0"/>
        <w:snapToGrid w:val="0"/>
        <w:spacing w:line="360" w:lineRule="auto"/>
        <w:rPr>
          <w:rFonts w:ascii="宋体" w:hAnsi="Calibri" w:eastAsia="宋体" w:cs="宋体"/>
          <w:kern w:val="0"/>
          <w:szCs w:val="21"/>
        </w:rPr>
      </w:pPr>
      <w:r>
        <w:rPr>
          <w:rFonts w:hint="eastAsia" w:ascii="宋体" w:hAnsi="Calibri" w:eastAsia="宋体" w:cs="宋体"/>
          <w:kern w:val="0"/>
          <w:szCs w:val="21"/>
          <w:u w:val="single"/>
        </w:rPr>
        <w:t>（采购人单位名称）</w:t>
      </w:r>
      <w:r>
        <w:rPr>
          <w:rFonts w:hint="eastAsia" w:ascii="宋体" w:hAnsi="Calibri" w:eastAsia="宋体" w:cs="宋体"/>
          <w:kern w:val="0"/>
          <w:szCs w:val="21"/>
        </w:rPr>
        <w:t>：</w:t>
      </w:r>
    </w:p>
    <w:p>
      <w:pPr>
        <w:widowControl/>
        <w:shd w:val="clear" w:color="auto" w:fill="FFFFFF"/>
        <w:tabs>
          <w:tab w:val="left" w:pos="426"/>
        </w:tabs>
        <w:adjustRightInd w:val="0"/>
        <w:snapToGrid w:val="0"/>
        <w:spacing w:line="36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第一条 保密内容（包括技术信息和经营信息）：与本项目相关的所有资料，包括但不限于文字、图片等形式。</w:t>
      </w:r>
    </w:p>
    <w:p>
      <w:pPr>
        <w:widowControl/>
        <w:shd w:val="clear" w:color="auto" w:fill="FFFFFF"/>
        <w:tabs>
          <w:tab w:val="left" w:pos="426"/>
        </w:tabs>
        <w:adjustRightInd w:val="0"/>
        <w:snapToGrid w:val="0"/>
        <w:spacing w:line="36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第二条 涉密人员范围：双方所有涉及到本项目的人员以及双方由于其他原因了解或知道此项目信息的人员均需履行保密义务。</w:t>
      </w:r>
    </w:p>
    <w:p>
      <w:pPr>
        <w:widowControl/>
        <w:shd w:val="clear" w:color="auto" w:fill="FFFFFF"/>
        <w:tabs>
          <w:tab w:val="left" w:pos="426"/>
        </w:tabs>
        <w:adjustRightInd w:val="0"/>
        <w:snapToGrid w:val="0"/>
        <w:spacing w:line="36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第三条 保密期限：合同有效期内及终止后均需履行保密义务，保密义务不因本项目完成而解除。</w:t>
      </w:r>
    </w:p>
    <w:p>
      <w:pPr>
        <w:widowControl/>
        <w:shd w:val="clear" w:color="auto" w:fill="FFFFFF"/>
        <w:tabs>
          <w:tab w:val="left" w:pos="426"/>
        </w:tabs>
        <w:adjustRightInd w:val="0"/>
        <w:snapToGrid w:val="0"/>
        <w:spacing w:line="36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第四条 泄密责任：因自身泄密造成的损失需自行承担，任何一方没有履行保密义务造成对方的权益收到损害的，需按照损害的程度向对方进行赔偿。</w:t>
      </w:r>
    </w:p>
    <w:p>
      <w:pPr>
        <w:widowControl/>
        <w:shd w:val="clear" w:color="auto" w:fill="FFFFFF"/>
        <w:tabs>
          <w:tab w:val="left" w:pos="426"/>
        </w:tabs>
        <w:adjustRightInd w:val="0"/>
        <w:snapToGrid w:val="0"/>
        <w:spacing w:line="36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第五条 本承诺受中国法律管辖并按照中国的法律进行解释。由于本承诺的履行或解释而产生的或与之有关的任何争议，双方无法协商解决，应提交在采购人所在地有管辖权人民法院诉讼解决。</w:t>
      </w:r>
    </w:p>
    <w:p>
      <w:pPr>
        <w:widowControl/>
        <w:shd w:val="clear" w:color="auto" w:fill="FFFFFF"/>
        <w:tabs>
          <w:tab w:val="left" w:pos="426"/>
        </w:tabs>
        <w:adjustRightInd w:val="0"/>
        <w:snapToGrid w:val="0"/>
        <w:spacing w:before="100" w:beforeAutospacing="1" w:line="360" w:lineRule="exact"/>
        <w:ind w:left="4070" w:right="440" w:hanging="4070" w:hangingChars="1850"/>
        <w:jc w:val="center"/>
        <w:rPr>
          <w:rFonts w:ascii="宋体" w:hAnsi="Calibri" w:eastAsia="宋体" w:cs="宋体"/>
          <w:kern w:val="0"/>
          <w:sz w:val="22"/>
          <w:szCs w:val="21"/>
        </w:rPr>
      </w:pPr>
      <w:r>
        <w:rPr>
          <w:rFonts w:hint="eastAsia" w:ascii="宋体" w:hAnsi="Calibri" w:eastAsia="宋体" w:cs="宋体"/>
          <w:kern w:val="0"/>
          <w:sz w:val="22"/>
          <w:szCs w:val="21"/>
        </w:rPr>
        <w:t>承诺人：</w:t>
      </w:r>
      <w:r>
        <w:rPr>
          <w:rFonts w:hint="eastAsia" w:ascii="宋体" w:hAnsi="Calibri" w:eastAsia="宋体" w:cs="宋体"/>
          <w:kern w:val="0"/>
          <w:sz w:val="22"/>
          <w:szCs w:val="21"/>
          <w:u w:val="single"/>
        </w:rPr>
        <w:t xml:space="preserve">            </w:t>
      </w:r>
    </w:p>
    <w:p>
      <w:pPr>
        <w:widowControl/>
        <w:shd w:val="clear" w:color="auto" w:fill="FFFFFF"/>
        <w:tabs>
          <w:tab w:val="left" w:pos="426"/>
        </w:tabs>
        <w:adjustRightInd w:val="0"/>
        <w:snapToGrid w:val="0"/>
        <w:spacing w:before="100" w:beforeAutospacing="1" w:line="360" w:lineRule="exact"/>
        <w:ind w:left="4070" w:hanging="4070" w:hangingChars="1850"/>
        <w:jc w:val="left"/>
        <w:rPr>
          <w:rFonts w:ascii="宋体" w:hAnsi="Calibri" w:eastAsia="宋体" w:cs="宋体"/>
          <w:kern w:val="0"/>
          <w:sz w:val="22"/>
          <w:szCs w:val="21"/>
        </w:rPr>
      </w:pPr>
      <w:r>
        <w:rPr>
          <w:rFonts w:hint="eastAsia" w:ascii="宋体" w:hAnsi="Calibri" w:eastAsia="宋体" w:cs="宋体"/>
          <w:kern w:val="0"/>
          <w:sz w:val="22"/>
          <w:szCs w:val="21"/>
        </w:rPr>
        <w:t xml:space="preserve">                                                             （单位公章） </w:t>
      </w:r>
    </w:p>
    <w:p>
      <w:pPr>
        <w:widowControl/>
        <w:shd w:val="clear" w:color="auto" w:fill="FFFFFF"/>
        <w:tabs>
          <w:tab w:val="left" w:pos="426"/>
        </w:tabs>
        <w:adjustRightInd w:val="0"/>
        <w:snapToGrid w:val="0"/>
        <w:spacing w:before="100" w:beforeAutospacing="1" w:line="360" w:lineRule="exact"/>
        <w:ind w:firstLine="440"/>
        <w:jc w:val="left"/>
        <w:rPr>
          <w:rFonts w:ascii="宋体" w:hAnsi="Calibri" w:eastAsia="宋体" w:cs="宋体"/>
          <w:kern w:val="0"/>
          <w:sz w:val="22"/>
          <w:szCs w:val="21"/>
        </w:rPr>
      </w:pPr>
      <w:r>
        <w:rPr>
          <w:rFonts w:hint="eastAsia" w:ascii="宋体" w:hAnsi="Calibri" w:eastAsia="宋体" w:cs="宋体"/>
          <w:kern w:val="0"/>
          <w:sz w:val="22"/>
          <w:szCs w:val="21"/>
        </w:rPr>
        <w:t xml:space="preserve">                                                签订日期     年   月   日</w:t>
      </w:r>
    </w:p>
    <w:p>
      <w:pPr>
        <w:widowControl/>
        <w:ind w:firstLine="440"/>
        <w:jc w:val="left"/>
        <w:rPr>
          <w:rFonts w:ascii="宋体" w:hAnsi="Calibri" w:eastAsia="宋体" w:cs="宋体"/>
          <w:kern w:val="0"/>
          <w:sz w:val="22"/>
          <w:szCs w:val="21"/>
        </w:rPr>
      </w:pPr>
      <w:r>
        <w:rPr>
          <w:rFonts w:ascii="宋体" w:hAnsi="Calibri" w:eastAsia="宋体" w:cs="宋体"/>
          <w:kern w:val="0"/>
          <w:sz w:val="22"/>
          <w:szCs w:val="21"/>
        </w:rPr>
        <w:br w:type="page"/>
      </w:r>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r>
        <w:rPr>
          <w:rFonts w:hint="eastAsia" w:ascii="Arial" w:hAnsi="Arial" w:eastAsia="黑体" w:cs="Times New Roman"/>
          <w:b/>
          <w:bCs/>
          <w:sz w:val="28"/>
          <w:szCs w:val="28"/>
        </w:rPr>
        <w:t>、廉政承诺书</w:t>
      </w:r>
    </w:p>
    <w:p>
      <w:pPr>
        <w:spacing w:line="300" w:lineRule="auto"/>
        <w:ind w:firstLine="640"/>
        <w:jc w:val="center"/>
        <w:rPr>
          <w:rFonts w:ascii="宋体" w:hAnsi="Times New Roman" w:eastAsia="宋体" w:cs="Times New Roman"/>
          <w:bCs/>
          <w:sz w:val="32"/>
          <w:szCs w:val="32"/>
        </w:rPr>
      </w:pPr>
      <w:r>
        <w:rPr>
          <w:rFonts w:hint="eastAsia" w:ascii="宋体" w:hAnsi="Times New Roman" w:eastAsia="宋体" w:cs="Times New Roman"/>
          <w:bCs/>
          <w:sz w:val="32"/>
          <w:szCs w:val="32"/>
        </w:rPr>
        <w:t>廉政承诺书</w:t>
      </w:r>
    </w:p>
    <w:p>
      <w:pPr>
        <w:spacing w:line="600" w:lineRule="exact"/>
        <w:rPr>
          <w:rFonts w:ascii="宋体" w:hAnsi="Calibri" w:eastAsia="宋体" w:cs="宋体"/>
          <w:szCs w:val="21"/>
        </w:rPr>
      </w:pPr>
      <w:r>
        <w:rPr>
          <w:rFonts w:hint="eastAsia" w:ascii="宋体" w:hAnsi="Calibri" w:eastAsia="宋体" w:cs="宋体"/>
          <w:kern w:val="0"/>
          <w:szCs w:val="21"/>
          <w:u w:val="single"/>
        </w:rPr>
        <w:t>（采购人单位名称）</w:t>
      </w:r>
      <w:r>
        <w:rPr>
          <w:rFonts w:hint="eastAsia" w:ascii="宋体" w:hAnsi="Calibri" w:eastAsia="宋体" w:cs="宋体"/>
          <w:szCs w:val="21"/>
        </w:rPr>
        <w:t>：</w:t>
      </w:r>
    </w:p>
    <w:p>
      <w:pPr>
        <w:spacing w:line="600" w:lineRule="exact"/>
        <w:ind w:firstLine="420" w:firstLineChars="200"/>
        <w:rPr>
          <w:rFonts w:ascii="宋体" w:hAnsi="Calibri" w:eastAsia="宋体" w:cs="宋体"/>
          <w:szCs w:val="21"/>
        </w:rPr>
      </w:pPr>
      <w:r>
        <w:rPr>
          <w:rFonts w:hint="eastAsia" w:ascii="宋体" w:hAnsi="Calibri" w:eastAsia="宋体" w:cs="宋体"/>
          <w:szCs w:val="21"/>
        </w:rPr>
        <w:t>我单位响应你单位</w:t>
      </w:r>
      <w:r>
        <w:rPr>
          <w:rFonts w:hint="eastAsia" w:ascii="Calibri" w:hAnsi="Calibri" w:eastAsia="宋体" w:cs="宋体"/>
          <w:szCs w:val="21"/>
          <w:u w:val="single"/>
        </w:rPr>
        <w:t xml:space="preserve"> </w:t>
      </w:r>
      <w:r>
        <w:rPr>
          <w:rFonts w:ascii="Calibri" w:hAnsi="Calibri" w:eastAsia="宋体" w:cs="宋体"/>
          <w:szCs w:val="21"/>
          <w:u w:val="single"/>
        </w:rPr>
        <w:t xml:space="preserve"> </w:t>
      </w:r>
      <w:r>
        <w:rPr>
          <w:rFonts w:hint="eastAsia" w:ascii="Calibri" w:hAnsi="Calibri" w:eastAsia="宋体" w:cs="宋体"/>
          <w:szCs w:val="21"/>
          <w:u w:val="single"/>
        </w:rPr>
        <w:t>（项目名称+项目编号）</w:t>
      </w:r>
      <w:r>
        <w:rPr>
          <w:rFonts w:ascii="Calibri" w:hAnsi="Calibri" w:eastAsia="宋体" w:cs="宋体"/>
          <w:szCs w:val="21"/>
          <w:u w:val="single"/>
        </w:rPr>
        <w:t xml:space="preserve">   </w:t>
      </w:r>
      <w:r>
        <w:rPr>
          <w:rFonts w:hint="eastAsia" w:ascii="宋体" w:hAnsi="Calibri" w:eastAsia="宋体" w:cs="宋体"/>
          <w:szCs w:val="21"/>
        </w:rPr>
        <w:t>招标要求参加投标，我们将坚决遵守国家有关廉政要求，并郑重承诺：</w:t>
      </w:r>
    </w:p>
    <w:p>
      <w:pPr>
        <w:spacing w:line="600" w:lineRule="exact"/>
        <w:ind w:firstLine="420" w:firstLineChars="200"/>
        <w:rPr>
          <w:rFonts w:ascii="宋体" w:hAnsi="Calibri" w:eastAsia="宋体" w:cs="宋体"/>
          <w:szCs w:val="21"/>
        </w:rPr>
      </w:pPr>
      <w:r>
        <w:rPr>
          <w:rFonts w:hint="eastAsia" w:ascii="宋体" w:hAnsi="Calibri" w:eastAsia="宋体" w:cs="宋体"/>
          <w:szCs w:val="21"/>
        </w:rPr>
        <w:t>第一条 不向招标有关的工作人员行贿，赠送礼金礼物、有价证券、回扣以及中介费、咨询费等好处费；</w:t>
      </w:r>
    </w:p>
    <w:p>
      <w:pPr>
        <w:spacing w:line="600" w:lineRule="exact"/>
        <w:ind w:firstLine="420" w:firstLineChars="200"/>
        <w:rPr>
          <w:rFonts w:ascii="宋体" w:hAnsi="Calibri" w:eastAsia="宋体" w:cs="宋体"/>
          <w:szCs w:val="21"/>
        </w:rPr>
      </w:pPr>
      <w:r>
        <w:rPr>
          <w:rFonts w:hint="eastAsia" w:ascii="宋体" w:hAnsi="Calibri" w:eastAsia="宋体" w:cs="宋体"/>
          <w:szCs w:val="21"/>
        </w:rPr>
        <w:t>第二条 不为招标相关工作人员报销应由相关单位或个人支付的费用；</w:t>
      </w:r>
    </w:p>
    <w:p>
      <w:pPr>
        <w:spacing w:line="600" w:lineRule="exact"/>
        <w:ind w:firstLine="420" w:firstLineChars="200"/>
        <w:rPr>
          <w:rFonts w:ascii="宋体" w:hAnsi="Calibri" w:eastAsia="宋体" w:cs="宋体"/>
          <w:szCs w:val="21"/>
        </w:rPr>
      </w:pPr>
      <w:r>
        <w:rPr>
          <w:rFonts w:hint="eastAsia" w:ascii="宋体" w:hAnsi="Calibri" w:eastAsia="宋体" w:cs="宋体"/>
          <w:szCs w:val="21"/>
        </w:rPr>
        <w:t>第三条 不为招标相关人员个人装修住户、婚丧嫁娶、配偶子女工作安排以及出国（境）旅游提供方便或者提供其它好处；</w:t>
      </w:r>
    </w:p>
    <w:p>
      <w:pPr>
        <w:spacing w:line="600" w:lineRule="exact"/>
        <w:ind w:firstLine="420" w:firstLineChars="200"/>
        <w:rPr>
          <w:rFonts w:ascii="宋体" w:hAnsi="Calibri" w:eastAsia="宋体" w:cs="宋体"/>
          <w:szCs w:val="21"/>
        </w:rPr>
      </w:pPr>
      <w:r>
        <w:rPr>
          <w:rFonts w:hint="eastAsia" w:ascii="宋体" w:hAnsi="Calibri" w:eastAsia="宋体" w:cs="宋体"/>
          <w:szCs w:val="21"/>
        </w:rPr>
        <w:t>第四条 不向招标相关工作人员提供有可能影响公正进行招投标工作的宴请和娱乐健身活动；</w:t>
      </w:r>
    </w:p>
    <w:p>
      <w:pPr>
        <w:spacing w:line="600" w:lineRule="exact"/>
        <w:ind w:firstLine="420" w:firstLineChars="200"/>
        <w:rPr>
          <w:rFonts w:ascii="宋体" w:hAnsi="Calibri" w:eastAsia="宋体" w:cs="宋体"/>
          <w:szCs w:val="21"/>
        </w:rPr>
      </w:pPr>
      <w:r>
        <w:rPr>
          <w:rFonts w:hint="eastAsia" w:ascii="宋体" w:hAnsi="Calibri" w:eastAsia="宋体" w:cs="宋体"/>
          <w:szCs w:val="21"/>
        </w:rPr>
        <w:t>第五条 不接受招标人员介绍的与招标项目有关的设备采购、工程分包、劳务等经济活动，不接受招标人推荐分包单位的要求购买规定以外的材料、设备；</w:t>
      </w:r>
    </w:p>
    <w:p>
      <w:pPr>
        <w:spacing w:line="600" w:lineRule="exact"/>
        <w:ind w:firstLine="420" w:firstLineChars="200"/>
        <w:rPr>
          <w:rFonts w:ascii="宋体" w:hAnsi="Calibri" w:eastAsia="宋体" w:cs="宋体"/>
          <w:szCs w:val="21"/>
        </w:rPr>
      </w:pPr>
      <w:r>
        <w:rPr>
          <w:rFonts w:hint="eastAsia" w:ascii="宋体" w:hAnsi="Calibri" w:eastAsia="宋体" w:cs="宋体"/>
          <w:szCs w:val="21"/>
        </w:rPr>
        <w:t>第六条 不弄虚作假，不采取陪标、围标等不正当手段参与竞标，不拉拢招评标人员影响评标工作的公正性。</w:t>
      </w:r>
    </w:p>
    <w:p>
      <w:pPr>
        <w:spacing w:line="600" w:lineRule="exact"/>
        <w:ind w:firstLine="420" w:firstLineChars="200"/>
        <w:rPr>
          <w:rFonts w:ascii="宋体" w:hAnsi="Calibri" w:eastAsia="宋体" w:cs="宋体"/>
          <w:szCs w:val="21"/>
        </w:rPr>
      </w:pPr>
      <w:r>
        <w:rPr>
          <w:rFonts w:hint="eastAsia" w:ascii="宋体" w:hAnsi="Calibri" w:eastAsia="宋体" w:cs="宋体"/>
          <w:szCs w:val="21"/>
        </w:rPr>
        <w:t>如违反上述承诺，你单位有权取消我单位投标资格并将我单位列入深圳海关后勤管理中心信息化建设工程廉洁“黑名单”，自愿接受你单位没收投标保证金、履约保证金的规定，由此引起的相应损失由我单位承担。</w:t>
      </w:r>
    </w:p>
    <w:p>
      <w:pPr>
        <w:spacing w:before="100" w:beforeAutospacing="1" w:line="600" w:lineRule="exact"/>
        <w:ind w:left="4070" w:right="440" w:hanging="4070" w:hangingChars="1850"/>
        <w:jc w:val="center"/>
        <w:rPr>
          <w:rFonts w:ascii="宋体" w:hAnsi="Calibri" w:eastAsia="宋体" w:cs="宋体"/>
          <w:kern w:val="0"/>
          <w:sz w:val="22"/>
          <w:szCs w:val="21"/>
        </w:rPr>
      </w:pPr>
      <w:r>
        <w:rPr>
          <w:rFonts w:hint="eastAsia" w:ascii="宋体" w:hAnsi="Calibri" w:eastAsia="宋体" w:cs="宋体"/>
          <w:kern w:val="0"/>
          <w:sz w:val="22"/>
          <w:szCs w:val="21"/>
        </w:rPr>
        <w:t xml:space="preserve"> </w:t>
      </w:r>
      <w:r>
        <w:rPr>
          <w:rFonts w:ascii="宋体" w:hAnsi="Calibri" w:eastAsia="宋体" w:cs="宋体"/>
          <w:kern w:val="0"/>
          <w:sz w:val="22"/>
          <w:szCs w:val="21"/>
        </w:rPr>
        <w:t xml:space="preserve">                         </w:t>
      </w:r>
      <w:r>
        <w:rPr>
          <w:rFonts w:hint="eastAsia" w:ascii="宋体" w:hAnsi="Calibri" w:eastAsia="宋体" w:cs="宋体"/>
          <w:kern w:val="0"/>
          <w:sz w:val="22"/>
          <w:szCs w:val="21"/>
        </w:rPr>
        <w:t>承诺人：</w:t>
      </w:r>
      <w:r>
        <w:rPr>
          <w:rFonts w:hint="eastAsia" w:ascii="宋体" w:hAnsi="Calibri" w:eastAsia="宋体" w:cs="宋体"/>
          <w:kern w:val="0"/>
          <w:sz w:val="22"/>
          <w:szCs w:val="21"/>
          <w:u w:val="single"/>
        </w:rPr>
        <w:t xml:space="preserve">            </w:t>
      </w:r>
      <w:r>
        <w:rPr>
          <w:rFonts w:ascii="宋体" w:hAnsi="Calibri" w:eastAsia="宋体" w:cs="宋体"/>
          <w:kern w:val="0"/>
          <w:sz w:val="22"/>
          <w:szCs w:val="21"/>
          <w:u w:val="single"/>
        </w:rPr>
        <w:t xml:space="preserve"> </w:t>
      </w:r>
    </w:p>
    <w:p>
      <w:pPr>
        <w:spacing w:before="100" w:beforeAutospacing="1" w:line="600" w:lineRule="exact"/>
        <w:ind w:left="4070" w:hanging="4070" w:hangingChars="1850"/>
        <w:jc w:val="left"/>
        <w:rPr>
          <w:rFonts w:ascii="宋体" w:hAnsi="Calibri" w:eastAsia="宋体" w:cs="宋体"/>
          <w:kern w:val="0"/>
          <w:sz w:val="22"/>
          <w:szCs w:val="21"/>
        </w:rPr>
      </w:pPr>
      <w:r>
        <w:rPr>
          <w:rFonts w:hint="eastAsia" w:ascii="宋体" w:hAnsi="Calibri" w:eastAsia="宋体" w:cs="宋体"/>
          <w:kern w:val="0"/>
          <w:sz w:val="22"/>
          <w:szCs w:val="21"/>
        </w:rPr>
        <w:t xml:space="preserve">                                                             （单位公章） </w:t>
      </w:r>
    </w:p>
    <w:p>
      <w:pPr>
        <w:spacing w:before="100" w:beforeAutospacing="1" w:line="600" w:lineRule="exact"/>
        <w:ind w:firstLine="440"/>
        <w:jc w:val="left"/>
        <w:rPr>
          <w:rFonts w:ascii="宋体" w:hAnsi="Calibri" w:eastAsia="宋体" w:cs="宋体"/>
          <w:kern w:val="0"/>
          <w:sz w:val="22"/>
          <w:szCs w:val="21"/>
        </w:rPr>
      </w:pPr>
      <w:r>
        <w:rPr>
          <w:rFonts w:hint="eastAsia" w:ascii="宋体" w:hAnsi="Calibri" w:eastAsia="宋体" w:cs="宋体"/>
          <w:kern w:val="0"/>
          <w:sz w:val="22"/>
          <w:szCs w:val="21"/>
        </w:rPr>
        <w:t xml:space="preserve">                                                签订日期     年   月   日</w:t>
      </w:r>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r>
        <w:rPr>
          <w:rFonts w:hint="eastAsia" w:ascii="Arial" w:hAnsi="Arial" w:eastAsia="黑体" w:cs="Times New Roman"/>
          <w:b/>
          <w:bCs/>
          <w:sz w:val="28"/>
          <w:szCs w:val="28"/>
        </w:rPr>
        <w:t>、法定代表人授权委托书、法定代表人证明书</w:t>
      </w:r>
      <w:bookmarkEnd w:id="119"/>
    </w:p>
    <w:p>
      <w:pPr>
        <w:spacing w:line="300" w:lineRule="auto"/>
        <w:ind w:firstLine="640"/>
        <w:jc w:val="center"/>
        <w:rPr>
          <w:rFonts w:ascii="宋体" w:hAnsi="Times New Roman" w:eastAsia="宋体" w:cs="Times New Roman"/>
          <w:bCs/>
          <w:sz w:val="32"/>
          <w:szCs w:val="32"/>
        </w:rPr>
      </w:pPr>
      <w:r>
        <w:rPr>
          <w:rFonts w:hint="eastAsia" w:ascii="宋体" w:hAnsi="Times New Roman" w:eastAsia="宋体" w:cs="Times New Roman"/>
          <w:bCs/>
          <w:sz w:val="32"/>
          <w:szCs w:val="32"/>
        </w:rPr>
        <w:t>法定代表人授权委托书</w:t>
      </w:r>
    </w:p>
    <w:p>
      <w:pPr>
        <w:widowControl/>
        <w:shd w:val="clear" w:color="auto" w:fill="FFFFFF"/>
        <w:adjustRightInd w:val="0"/>
        <w:snapToGrid w:val="0"/>
        <w:spacing w:line="360" w:lineRule="auto"/>
        <w:ind w:firstLine="420" w:firstLineChars="200"/>
        <w:rPr>
          <w:rFonts w:ascii="宋体" w:hAnsi="Times New Roman" w:eastAsia="宋体" w:cs="Times New Roman"/>
          <w:szCs w:val="20"/>
        </w:rPr>
      </w:pPr>
    </w:p>
    <w:p>
      <w:pPr>
        <w:widowControl/>
        <w:shd w:val="clear" w:color="auto" w:fill="FFFFFF"/>
        <w:adjustRightInd w:val="0"/>
        <w:snapToGrid w:val="0"/>
        <w:spacing w:line="360" w:lineRule="auto"/>
        <w:ind w:firstLine="420" w:firstLineChars="200"/>
        <w:rPr>
          <w:rFonts w:ascii="宋体" w:hAnsi="Times New Roman" w:eastAsia="宋体" w:cs="Times New Roman"/>
          <w:szCs w:val="20"/>
        </w:rPr>
      </w:pPr>
      <w:r>
        <w:rPr>
          <w:rFonts w:hint="eastAsia" w:ascii="宋体" w:hAnsi="Times New Roman" w:eastAsia="宋体" w:cs="Times New Roman"/>
          <w:szCs w:val="20"/>
        </w:rPr>
        <w:t>本授权委托书声明：注册于</w:t>
      </w:r>
      <w:r>
        <w:rPr>
          <w:rFonts w:hint="eastAsia" w:ascii="宋体" w:hAnsi="Times New Roman" w:eastAsia="宋体" w:cs="Times New Roman"/>
          <w:szCs w:val="20"/>
          <w:u w:val="single"/>
        </w:rPr>
        <w:t>（投标供应商地址）</w:t>
      </w:r>
      <w:r>
        <w:rPr>
          <w:rFonts w:hint="eastAsia" w:ascii="宋体" w:hAnsi="Times New Roman" w:eastAsia="宋体" w:cs="Times New Roman"/>
          <w:szCs w:val="20"/>
        </w:rPr>
        <w:t>的</w:t>
      </w:r>
      <w:r>
        <w:rPr>
          <w:rFonts w:hint="eastAsia" w:ascii="宋体" w:hAnsi="Times New Roman" w:eastAsia="宋体" w:cs="Times New Roman"/>
          <w:szCs w:val="20"/>
          <w:u w:val="single"/>
        </w:rPr>
        <w:t>（投标供应商名称）</w:t>
      </w:r>
      <w:r>
        <w:rPr>
          <w:rFonts w:hint="eastAsia" w:ascii="宋体" w:hAnsi="Times New Roman" w:eastAsia="宋体" w:cs="Times New Roman"/>
          <w:szCs w:val="20"/>
        </w:rPr>
        <w:t>在下面签名的</w:t>
      </w:r>
      <w:r>
        <w:rPr>
          <w:rFonts w:hint="eastAsia" w:ascii="宋体" w:hAnsi="Times New Roman" w:eastAsia="宋体" w:cs="Times New Roman"/>
          <w:szCs w:val="20"/>
          <w:u w:val="single"/>
        </w:rPr>
        <w:t>（法定代表人姓名、职务）</w:t>
      </w:r>
      <w:r>
        <w:rPr>
          <w:rFonts w:hint="eastAsia" w:ascii="宋体" w:hAnsi="Times New Roman" w:eastAsia="宋体" w:cs="Times New Roman"/>
          <w:szCs w:val="20"/>
        </w:rPr>
        <w:t>在此授权</w:t>
      </w:r>
      <w:r>
        <w:rPr>
          <w:rFonts w:hint="eastAsia" w:ascii="宋体" w:hAnsi="Times New Roman" w:eastAsia="宋体" w:cs="Times New Roman"/>
          <w:szCs w:val="20"/>
          <w:u w:val="single"/>
        </w:rPr>
        <w:t>（被授权人姓名、职务）</w:t>
      </w:r>
      <w:r>
        <w:rPr>
          <w:rFonts w:hint="eastAsia" w:ascii="宋体" w:hAnsi="Times New Roman" w:eastAsia="宋体" w:cs="Times New Roman"/>
          <w:szCs w:val="20"/>
        </w:rPr>
        <w:t>作为我公司的合法代理人，就</w:t>
      </w:r>
      <w:r>
        <w:rPr>
          <w:rFonts w:hint="eastAsia" w:ascii="宋体" w:hAnsi="Times New Roman" w:eastAsia="宋体" w:cs="Times New Roman"/>
          <w:szCs w:val="20"/>
          <w:u w:val="single"/>
        </w:rPr>
        <w:t>（项目名称、项目编号</w:t>
      </w:r>
      <w:r>
        <w:rPr>
          <w:rFonts w:hint="eastAsia" w:ascii="宋体" w:hAnsi="Times New Roman" w:eastAsia="宋体" w:cs="Times New Roman"/>
          <w:szCs w:val="20"/>
        </w:rPr>
        <w:t>）的招投标活动，采购合同的签订、执行、完成和售后服务，作为投标供应商代表以我方的名义处理一切与之有关的事务。</w:t>
      </w:r>
    </w:p>
    <w:p>
      <w:pPr>
        <w:widowControl/>
        <w:shd w:val="clear" w:color="auto" w:fill="FFFFFF"/>
        <w:tabs>
          <w:tab w:val="left" w:pos="5543"/>
        </w:tabs>
        <w:adjustRightInd w:val="0"/>
        <w:snapToGrid w:val="0"/>
        <w:spacing w:line="360" w:lineRule="auto"/>
        <w:ind w:firstLine="420" w:firstLineChars="200"/>
        <w:rPr>
          <w:rFonts w:ascii="宋体" w:hAnsi="Times New Roman" w:eastAsia="宋体" w:cs="Times New Roman"/>
          <w:szCs w:val="20"/>
        </w:rPr>
      </w:pPr>
      <w:r>
        <w:rPr>
          <w:rFonts w:hint="eastAsia" w:ascii="宋体" w:hAnsi="Times New Roman" w:eastAsia="宋体" w:cs="Times New Roman"/>
          <w:szCs w:val="20"/>
        </w:rPr>
        <w:t>被授权人（投标供应商授权代表）无转委托权限。</w:t>
      </w:r>
      <w:r>
        <w:rPr>
          <w:rFonts w:ascii="宋体" w:hAnsi="Times New Roman" w:eastAsia="宋体" w:cs="Times New Roman"/>
          <w:szCs w:val="20"/>
        </w:rPr>
        <w:tab/>
      </w:r>
    </w:p>
    <w:p>
      <w:pPr>
        <w:widowControl/>
        <w:shd w:val="clear" w:color="auto" w:fill="FFFFFF"/>
        <w:adjustRightInd w:val="0"/>
        <w:snapToGrid w:val="0"/>
        <w:spacing w:line="360" w:lineRule="auto"/>
        <w:ind w:firstLine="420" w:firstLineChars="200"/>
        <w:rPr>
          <w:rFonts w:ascii="宋体" w:hAnsi="Times New Roman" w:eastAsia="宋体" w:cs="宋体"/>
          <w:kern w:val="0"/>
          <w:szCs w:val="21"/>
        </w:rPr>
      </w:pPr>
      <w:r>
        <w:rPr>
          <w:rFonts w:hint="eastAsia" w:ascii="宋体" w:hAnsi="Times New Roman" w:eastAsia="宋体" w:cs="宋体"/>
          <w:kern w:val="0"/>
          <w:szCs w:val="21"/>
        </w:rPr>
        <w:t>本授权书自法定代表人签字之日起生效，特此声明。</w:t>
      </w:r>
    </w:p>
    <w:p>
      <w:pPr>
        <w:widowControl/>
        <w:shd w:val="clear" w:color="auto" w:fill="FFFFFF"/>
        <w:adjustRightInd w:val="0"/>
        <w:snapToGrid w:val="0"/>
        <w:spacing w:line="360" w:lineRule="auto"/>
        <w:ind w:firstLine="422" w:firstLineChars="200"/>
        <w:rPr>
          <w:rFonts w:ascii="宋体" w:hAnsi="Times New Roman" w:eastAsia="宋体" w:cs="宋体"/>
          <w:b/>
          <w:kern w:val="0"/>
          <w:szCs w:val="21"/>
        </w:rPr>
      </w:pPr>
      <w:r>
        <w:rPr>
          <w:rFonts w:hint="eastAsia" w:ascii="宋体" w:hAnsi="Times New Roman" w:eastAsia="宋体" w:cs="宋体"/>
          <w:b/>
          <w:kern w:val="0"/>
          <w:szCs w:val="21"/>
        </w:rPr>
        <w:t>随附《法定代表人证明》</w:t>
      </w:r>
    </w:p>
    <w:p>
      <w:pPr>
        <w:widowControl/>
        <w:shd w:val="clear" w:color="auto" w:fill="FFFFFF"/>
        <w:adjustRightInd w:val="0"/>
        <w:snapToGrid w:val="0"/>
        <w:spacing w:line="360" w:lineRule="auto"/>
        <w:ind w:firstLine="422" w:firstLineChars="200"/>
        <w:rPr>
          <w:rFonts w:ascii="宋体" w:hAnsi="Times New Roman" w:eastAsia="宋体" w:cs="宋体"/>
          <w:b/>
          <w:kern w:val="0"/>
          <w:szCs w:val="21"/>
        </w:rPr>
      </w:pPr>
    </w:p>
    <w:p>
      <w:pPr>
        <w:widowControl/>
        <w:shd w:val="clear" w:color="auto" w:fill="FFFFFF"/>
        <w:adjustRightInd w:val="0"/>
        <w:snapToGrid w:val="0"/>
        <w:spacing w:line="360" w:lineRule="auto"/>
        <w:ind w:firstLine="422" w:firstLineChars="200"/>
        <w:rPr>
          <w:rFonts w:ascii="宋体" w:hAnsi="Times New Roman" w:eastAsia="宋体" w:cs="宋体"/>
          <w:b/>
          <w:kern w:val="0"/>
          <w:szCs w:val="21"/>
        </w:rPr>
      </w:pP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单位名称：</w:t>
      </w:r>
      <w:r>
        <w:rPr>
          <w:rFonts w:hint="eastAsia" w:ascii="宋体" w:hAnsi="Times New Roman" w:eastAsia="宋体" w:cs="宋体"/>
          <w:kern w:val="0"/>
          <w:szCs w:val="24"/>
          <w:u w:val="single"/>
        </w:rPr>
        <w:t>___________________________________________________________________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 xml:space="preserve">法定代表人（签名或盖章）： </w:t>
      </w:r>
      <w:r>
        <w:rPr>
          <w:rFonts w:hint="eastAsia" w:ascii="宋体" w:hAnsi="Times New Roman" w:eastAsia="宋体" w:cs="宋体"/>
          <w:kern w:val="0"/>
          <w:szCs w:val="24"/>
          <w:u w:val="single"/>
        </w:rPr>
        <w:t>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投标供应商授权代表（签名或盖章）：</w:t>
      </w:r>
      <w:r>
        <w:rPr>
          <w:rFonts w:hint="eastAsia" w:ascii="宋体" w:hAnsi="Times New Roman" w:eastAsia="宋体" w:cs="宋体"/>
          <w:kern w:val="0"/>
          <w:szCs w:val="24"/>
          <w:u w:val="single"/>
        </w:rPr>
        <w:t>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单位地址：</w:t>
      </w:r>
      <w:r>
        <w:rPr>
          <w:rFonts w:hint="eastAsia" w:ascii="宋体" w:hAnsi="Times New Roman" w:eastAsia="宋体" w:cs="宋体"/>
          <w:kern w:val="0"/>
          <w:szCs w:val="24"/>
          <w:u w:val="single"/>
        </w:rPr>
        <w:t>___________________________________________________________________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单位公章：</w:t>
      </w:r>
      <w:r>
        <w:rPr>
          <w:rFonts w:hint="eastAsia" w:ascii="宋体" w:hAnsi="Times New Roman" w:eastAsia="宋体" w:cs="宋体"/>
          <w:kern w:val="0"/>
          <w:szCs w:val="24"/>
          <w:u w:val="single"/>
        </w:rPr>
        <w:t>___________________________________________________________________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邮政编码：</w:t>
      </w:r>
      <w:r>
        <w:rPr>
          <w:rFonts w:hint="eastAsia" w:ascii="宋体" w:hAnsi="Times New Roman" w:eastAsia="宋体" w:cs="宋体"/>
          <w:kern w:val="0"/>
          <w:szCs w:val="24"/>
          <w:u w:val="single"/>
        </w:rPr>
        <w:t>______________________________</w:t>
      </w:r>
      <w:r>
        <w:rPr>
          <w:rFonts w:hint="eastAsia" w:ascii="宋体" w:hAnsi="Times New Roman" w:eastAsia="宋体" w:cs="宋体"/>
          <w:kern w:val="0"/>
          <w:szCs w:val="24"/>
        </w:rPr>
        <w:t>日期：</w:t>
      </w:r>
      <w:r>
        <w:rPr>
          <w:rFonts w:hint="eastAsia" w:ascii="宋体" w:hAnsi="Times New Roman" w:eastAsia="宋体" w:cs="宋体"/>
          <w:kern w:val="0"/>
          <w:szCs w:val="24"/>
          <w:u w:val="single"/>
        </w:rPr>
        <w:t>_______________________________</w:t>
      </w:r>
    </w:p>
    <w:p>
      <w:pPr>
        <w:widowControl/>
        <w:shd w:val="clear" w:color="auto" w:fill="FFFFFF"/>
        <w:adjustRightInd w:val="0"/>
        <w:snapToGrid w:val="0"/>
        <w:spacing w:line="360" w:lineRule="auto"/>
        <w:ind w:firstLine="424" w:firstLineChars="202"/>
        <w:rPr>
          <w:rFonts w:ascii="宋体" w:hAnsi="Times New Roman" w:eastAsia="宋体" w:cs="宋体"/>
          <w:kern w:val="0"/>
          <w:szCs w:val="21"/>
        </w:rPr>
      </w:pPr>
      <w:r>
        <w:rPr>
          <w:rFonts w:hint="eastAsia" w:ascii="宋体" w:hAnsi="Times New Roman" w:eastAsia="宋体" w:cs="宋体"/>
          <w:kern w:val="0"/>
          <w:szCs w:val="24"/>
        </w:rPr>
        <w:t>联系电话：</w:t>
      </w:r>
      <w:r>
        <w:rPr>
          <w:rFonts w:hint="eastAsia" w:ascii="宋体" w:hAnsi="Times New Roman" w:eastAsia="宋体" w:cs="宋体"/>
          <w:kern w:val="0"/>
          <w:szCs w:val="24"/>
          <w:u w:val="single"/>
        </w:rPr>
        <w:t>___________________________________________________________________</w:t>
      </w:r>
    </w:p>
    <w:p>
      <w:pPr>
        <w:widowControl/>
        <w:shd w:val="clear" w:color="auto" w:fill="FFFFFF"/>
        <w:adjustRightInd w:val="0"/>
        <w:snapToGrid w:val="0"/>
        <w:spacing w:line="360" w:lineRule="auto"/>
        <w:ind w:firstLine="424" w:firstLineChars="202"/>
        <w:rPr>
          <w:rFonts w:ascii="宋体" w:hAnsi="Times New Roman" w:eastAsia="宋体" w:cs="宋体"/>
          <w:kern w:val="0"/>
          <w:szCs w:val="21"/>
        </w:rPr>
      </w:pPr>
    </w:p>
    <w:p>
      <w:pPr>
        <w:widowControl/>
        <w:shd w:val="clear" w:color="auto" w:fill="FFFFFF"/>
        <w:adjustRightInd w:val="0"/>
        <w:snapToGrid w:val="0"/>
        <w:spacing w:line="360" w:lineRule="auto"/>
        <w:ind w:firstLine="424" w:firstLineChars="202"/>
        <w:rPr>
          <w:rFonts w:ascii="宋体" w:hAnsi="Times New Roman" w:eastAsia="宋体" w:cs="宋体"/>
          <w:kern w:val="0"/>
          <w:szCs w:val="21"/>
        </w:rPr>
      </w:pPr>
      <w:r>
        <w:rPr>
          <w:rFonts w:hint="eastAsia" w:ascii="宋体" w:hAnsi="Times New Roman" w:eastAsia="宋体" w:cs="宋体"/>
          <w:kern w:val="0"/>
          <w:szCs w:val="21"/>
        </w:rPr>
        <w:t>附：被授权人身份证复印件：</w:t>
      </w:r>
    </w:p>
    <w:p>
      <w:pPr>
        <w:widowControl/>
        <w:shd w:val="clear" w:color="auto" w:fill="FFFFFF"/>
        <w:adjustRightInd w:val="0"/>
        <w:snapToGrid w:val="0"/>
        <w:spacing w:line="360" w:lineRule="auto"/>
        <w:ind w:firstLine="424" w:firstLineChars="202"/>
        <w:rPr>
          <w:rFonts w:ascii="宋体" w:hAnsi="Times New Roman" w:eastAsia="宋体" w:cs="宋体"/>
          <w:kern w:val="0"/>
          <w:szCs w:val="21"/>
        </w:rPr>
      </w:pPr>
    </w:p>
    <w:p>
      <w:pPr>
        <w:widowControl/>
        <w:shd w:val="clear" w:color="auto" w:fill="FFFFFF"/>
        <w:adjustRightInd w:val="0"/>
        <w:snapToGrid w:val="0"/>
        <w:spacing w:line="300" w:lineRule="auto"/>
        <w:jc w:val="center"/>
        <w:rPr>
          <w:rFonts w:ascii="宋体" w:hAnsi="Times New Roman" w:eastAsia="宋体" w:cs="宋体"/>
          <w:kern w:val="0"/>
          <w:szCs w:val="24"/>
        </w:rPr>
      </w:pPr>
      <w:r>
        <w:rPr>
          <w:rFonts w:ascii="宋体" w:hAnsi="Times New Roman" w:eastAsia="宋体" w:cs="宋体"/>
          <w:kern w:val="0"/>
          <w:szCs w:val="24"/>
        </w:rPr>
        <w:br w:type="page"/>
      </w:r>
    </w:p>
    <w:p>
      <w:pPr>
        <w:spacing w:line="300" w:lineRule="auto"/>
        <w:ind w:firstLine="640"/>
        <w:jc w:val="center"/>
        <w:rPr>
          <w:rFonts w:ascii="宋体" w:hAnsi="Times New Roman" w:eastAsia="宋体" w:cs="Times New Roman"/>
          <w:bCs/>
          <w:sz w:val="32"/>
          <w:szCs w:val="32"/>
        </w:rPr>
      </w:pPr>
    </w:p>
    <w:p>
      <w:pPr>
        <w:spacing w:line="300" w:lineRule="auto"/>
        <w:ind w:firstLine="640"/>
        <w:jc w:val="center"/>
        <w:rPr>
          <w:rFonts w:ascii="宋体" w:hAnsi="Times New Roman" w:eastAsia="宋体" w:cs="Times New Roman"/>
          <w:bCs/>
          <w:sz w:val="32"/>
          <w:szCs w:val="32"/>
        </w:rPr>
      </w:pPr>
      <w:r>
        <w:rPr>
          <w:rFonts w:hint="eastAsia" w:ascii="宋体" w:hAnsi="Times New Roman" w:eastAsia="宋体" w:cs="Times New Roman"/>
          <w:bCs/>
          <w:sz w:val="32"/>
          <w:szCs w:val="32"/>
        </w:rPr>
        <w:t>法定代表人证明书</w:t>
      </w:r>
    </w:p>
    <w:p>
      <w:pPr>
        <w:widowControl/>
        <w:shd w:val="clear" w:color="auto" w:fill="FFFFFF"/>
        <w:adjustRightInd w:val="0"/>
        <w:snapToGrid w:val="0"/>
        <w:spacing w:line="480" w:lineRule="auto"/>
        <w:ind w:firstLine="424" w:firstLineChars="202"/>
        <w:rPr>
          <w:rFonts w:ascii="宋体" w:hAnsi="Times New Roman" w:eastAsia="宋体" w:cs="宋体"/>
          <w:kern w:val="0"/>
          <w:szCs w:val="24"/>
          <w:u w:val="single"/>
        </w:rPr>
      </w:pPr>
    </w:p>
    <w:p>
      <w:pPr>
        <w:widowControl/>
        <w:shd w:val="clear" w:color="auto" w:fill="FFFFFF"/>
        <w:adjustRightInd w:val="0"/>
        <w:snapToGrid w:val="0"/>
        <w:spacing w:line="48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u w:val="single"/>
        </w:rPr>
        <w:t>__________</w:t>
      </w:r>
      <w:r>
        <w:rPr>
          <w:rFonts w:hint="eastAsia" w:ascii="宋体" w:hAnsi="Times New Roman" w:eastAsia="宋体" w:cs="宋体"/>
          <w:kern w:val="0"/>
          <w:szCs w:val="24"/>
        </w:rPr>
        <w:t>同志，现任我单位职务，为法定代表人，特此证明。</w:t>
      </w:r>
    </w:p>
    <w:p>
      <w:pPr>
        <w:widowControl/>
        <w:shd w:val="clear" w:color="auto" w:fill="FFFFFF"/>
        <w:adjustRightInd w:val="0"/>
        <w:snapToGrid w:val="0"/>
        <w:spacing w:line="48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本证明书自签发之日起生效，有效期与本公司投标文件中标注的投标有效期相同。</w:t>
      </w:r>
    </w:p>
    <w:p>
      <w:pPr>
        <w:widowControl/>
        <w:shd w:val="clear" w:color="auto" w:fill="FFFFFF"/>
        <w:adjustRightInd w:val="0"/>
        <w:snapToGrid w:val="0"/>
        <w:spacing w:line="480" w:lineRule="auto"/>
        <w:ind w:firstLine="424" w:firstLineChars="202"/>
        <w:rPr>
          <w:rFonts w:ascii="宋体" w:hAnsi="Times New Roman" w:eastAsia="宋体" w:cs="宋体"/>
          <w:kern w:val="0"/>
          <w:szCs w:val="24"/>
        </w:rPr>
      </w:pPr>
      <w:r>
        <w:rPr>
          <w:rFonts w:hint="eastAsia" w:ascii="宋体" w:hAnsi="Times New Roman" w:eastAsia="宋体" w:cs="宋体"/>
          <w:kern w:val="0"/>
          <w:szCs w:val="24"/>
        </w:rPr>
        <w:t>附：</w:t>
      </w:r>
    </w:p>
    <w:p>
      <w:pPr>
        <w:widowControl/>
        <w:shd w:val="clear" w:color="auto" w:fill="FFFFFF"/>
        <w:adjustRightInd w:val="0"/>
        <w:snapToGrid w:val="0"/>
        <w:spacing w:line="480" w:lineRule="auto"/>
        <w:ind w:firstLine="424" w:firstLineChars="202"/>
        <w:rPr>
          <w:rFonts w:ascii="宋体" w:hAnsi="Times New Roman" w:eastAsia="宋体" w:cs="宋体"/>
          <w:kern w:val="0"/>
          <w:szCs w:val="24"/>
          <w:u w:val="single"/>
        </w:rPr>
      </w:pPr>
      <w:r>
        <w:rPr>
          <w:rFonts w:hint="eastAsia" w:ascii="宋体" w:hAnsi="Times New Roman" w:eastAsia="宋体" w:cs="宋体"/>
          <w:kern w:val="0"/>
          <w:szCs w:val="24"/>
        </w:rPr>
        <w:t>营业执照（注册号）：</w:t>
      </w:r>
      <w:r>
        <w:rPr>
          <w:rFonts w:hint="eastAsia" w:ascii="宋体" w:hAnsi="Times New Roman" w:eastAsia="宋体" w:cs="宋体"/>
          <w:kern w:val="0"/>
          <w:szCs w:val="24"/>
          <w:u w:val="single"/>
        </w:rPr>
        <w:t>____________________________________________________________________</w:t>
      </w:r>
    </w:p>
    <w:p>
      <w:pPr>
        <w:widowControl/>
        <w:shd w:val="clear" w:color="auto" w:fill="FFFFFF"/>
        <w:adjustRightInd w:val="0"/>
        <w:snapToGrid w:val="0"/>
        <w:spacing w:line="480" w:lineRule="auto"/>
        <w:ind w:firstLine="424" w:firstLineChars="202"/>
        <w:rPr>
          <w:rFonts w:ascii="宋体" w:hAnsi="Times New Roman" w:eastAsia="宋体" w:cs="宋体"/>
          <w:kern w:val="0"/>
          <w:szCs w:val="24"/>
          <w:u w:val="single"/>
        </w:rPr>
      </w:pPr>
      <w:r>
        <w:rPr>
          <w:rFonts w:hint="eastAsia" w:ascii="宋体" w:hAnsi="Times New Roman" w:eastAsia="宋体" w:cs="宋体"/>
          <w:kern w:val="0"/>
          <w:szCs w:val="24"/>
        </w:rPr>
        <w:t>经济性质：</w:t>
      </w:r>
      <w:r>
        <w:rPr>
          <w:rFonts w:hint="eastAsia" w:ascii="宋体" w:hAnsi="Times New Roman" w:eastAsia="宋体" w:cs="宋体"/>
          <w:kern w:val="0"/>
          <w:szCs w:val="24"/>
          <w:u w:val="single"/>
        </w:rPr>
        <w:t>____________________________________________________________________________</w:t>
      </w:r>
    </w:p>
    <w:p>
      <w:pPr>
        <w:widowControl/>
        <w:shd w:val="clear" w:color="auto" w:fill="FFFFFF"/>
        <w:adjustRightInd w:val="0"/>
        <w:snapToGrid w:val="0"/>
        <w:spacing w:line="480" w:lineRule="auto"/>
        <w:ind w:firstLine="424" w:firstLineChars="202"/>
        <w:rPr>
          <w:rFonts w:ascii="宋体" w:hAnsi="Times New Roman" w:eastAsia="宋体" w:cs="宋体"/>
          <w:kern w:val="0"/>
          <w:szCs w:val="24"/>
          <w:u w:val="single"/>
        </w:rPr>
      </w:pPr>
      <w:r>
        <w:rPr>
          <w:rFonts w:hint="eastAsia" w:ascii="宋体" w:hAnsi="Times New Roman" w:eastAsia="宋体" w:cs="宋体"/>
          <w:kern w:val="0"/>
          <w:szCs w:val="24"/>
        </w:rPr>
        <w:t>主营（产）：</w:t>
      </w:r>
      <w:r>
        <w:rPr>
          <w:rFonts w:hint="eastAsia" w:ascii="宋体" w:hAnsi="Times New Roman" w:eastAsia="宋体" w:cs="宋体"/>
          <w:kern w:val="0"/>
          <w:szCs w:val="24"/>
          <w:u w:val="single"/>
        </w:rPr>
        <w:t>____________________________________________________________________________</w:t>
      </w:r>
    </w:p>
    <w:p>
      <w:pPr>
        <w:widowControl/>
        <w:shd w:val="clear" w:color="auto" w:fill="FFFFFF"/>
        <w:adjustRightInd w:val="0"/>
        <w:snapToGrid w:val="0"/>
        <w:spacing w:line="480" w:lineRule="auto"/>
        <w:ind w:firstLine="424" w:firstLineChars="202"/>
        <w:rPr>
          <w:rFonts w:ascii="宋体" w:hAnsi="Times New Roman" w:eastAsia="宋体" w:cs="宋体"/>
          <w:kern w:val="0"/>
          <w:szCs w:val="24"/>
          <w:u w:val="single"/>
        </w:rPr>
      </w:pPr>
      <w:r>
        <w:rPr>
          <w:rFonts w:hint="eastAsia" w:ascii="宋体" w:hAnsi="Times New Roman" w:eastAsia="宋体" w:cs="宋体"/>
          <w:kern w:val="0"/>
          <w:szCs w:val="24"/>
        </w:rPr>
        <w:t>兼营（产）：</w:t>
      </w:r>
      <w:r>
        <w:rPr>
          <w:rFonts w:hint="eastAsia" w:ascii="宋体" w:hAnsi="Times New Roman" w:eastAsia="宋体" w:cs="宋体"/>
          <w:kern w:val="0"/>
          <w:szCs w:val="24"/>
          <w:u w:val="single"/>
        </w:rPr>
        <w:t>____________________________________________________________________________</w:t>
      </w:r>
    </w:p>
    <w:p>
      <w:pPr>
        <w:widowControl/>
        <w:shd w:val="clear" w:color="auto" w:fill="FFFFFF"/>
        <w:adjustRightInd w:val="0"/>
        <w:snapToGrid w:val="0"/>
        <w:spacing w:line="360" w:lineRule="auto"/>
        <w:ind w:firstLine="424" w:firstLineChars="202"/>
        <w:rPr>
          <w:rFonts w:ascii="宋体" w:hAnsi="Times New Roman" w:eastAsia="宋体" w:cs="宋体"/>
          <w:kern w:val="0"/>
          <w:szCs w:val="24"/>
        </w:rPr>
      </w:pPr>
    </w:p>
    <w:p>
      <w:pPr>
        <w:widowControl/>
        <w:shd w:val="clear" w:color="auto" w:fill="FFFFFF"/>
        <w:adjustRightInd w:val="0"/>
        <w:snapToGrid w:val="0"/>
        <w:spacing w:line="360" w:lineRule="auto"/>
        <w:ind w:firstLine="424" w:firstLineChars="202"/>
        <w:rPr>
          <w:rFonts w:ascii="宋体" w:hAnsi="Times New Roman" w:eastAsia="宋体" w:cs="宋体"/>
          <w:kern w:val="0"/>
          <w:szCs w:val="21"/>
        </w:rPr>
      </w:pPr>
      <w:r>
        <w:rPr>
          <w:rFonts w:hint="eastAsia" w:ascii="宋体" w:hAnsi="Times New Roman" w:eastAsia="宋体" w:cs="宋体"/>
          <w:kern w:val="0"/>
          <w:szCs w:val="21"/>
        </w:rPr>
        <w:t>附：法定代表人身份证复印件：</w:t>
      </w:r>
    </w:p>
    <w:p>
      <w:pPr>
        <w:widowControl/>
        <w:shd w:val="clear" w:color="auto" w:fill="FFFFFF"/>
        <w:adjustRightInd w:val="0"/>
        <w:snapToGrid w:val="0"/>
        <w:spacing w:line="360" w:lineRule="auto"/>
        <w:ind w:firstLine="424" w:firstLineChars="202"/>
        <w:rPr>
          <w:rFonts w:ascii="宋体" w:hAnsi="Times New Roman" w:eastAsia="宋体" w:cs="宋体"/>
          <w:kern w:val="0"/>
          <w:szCs w:val="21"/>
        </w:rPr>
      </w:pPr>
    </w:p>
    <w:p>
      <w:pPr>
        <w:widowControl/>
        <w:shd w:val="clear" w:color="auto" w:fill="FFFFFF"/>
        <w:adjustRightInd w:val="0"/>
        <w:snapToGrid w:val="0"/>
        <w:spacing w:line="360" w:lineRule="auto"/>
        <w:ind w:firstLine="424" w:firstLineChars="202"/>
        <w:rPr>
          <w:rFonts w:ascii="宋体" w:hAnsi="Times New Roman" w:eastAsia="宋体" w:cs="宋体"/>
          <w:kern w:val="0"/>
          <w:szCs w:val="21"/>
        </w:rPr>
      </w:pPr>
    </w:p>
    <w:p>
      <w:pPr>
        <w:widowControl/>
        <w:shd w:val="clear" w:color="auto" w:fill="FFFFFF"/>
        <w:adjustRightInd w:val="0"/>
        <w:snapToGrid w:val="0"/>
        <w:spacing w:line="360" w:lineRule="auto"/>
        <w:ind w:firstLine="424" w:firstLineChars="202"/>
        <w:rPr>
          <w:rFonts w:ascii="宋体" w:hAnsi="Times New Roman" w:eastAsia="宋体" w:cs="宋体"/>
          <w:kern w:val="0"/>
          <w:szCs w:val="21"/>
        </w:rPr>
      </w:pPr>
    </w:p>
    <w:p>
      <w:pPr>
        <w:widowControl/>
        <w:shd w:val="clear" w:color="auto" w:fill="FFFFFF"/>
        <w:adjustRightInd w:val="0"/>
        <w:snapToGrid w:val="0"/>
        <w:spacing w:line="500" w:lineRule="exact"/>
        <w:ind w:left="3822" w:leftChars="1820"/>
        <w:rPr>
          <w:rFonts w:ascii="宋体" w:hAnsi="Times New Roman" w:eastAsia="宋体" w:cs="宋体"/>
          <w:kern w:val="0"/>
          <w:szCs w:val="24"/>
          <w:u w:val="single"/>
        </w:rPr>
      </w:pPr>
      <w:r>
        <w:rPr>
          <w:rFonts w:hint="eastAsia" w:ascii="宋体" w:hAnsi="Times New Roman" w:eastAsia="宋体" w:cs="宋体"/>
          <w:kern w:val="0"/>
          <w:szCs w:val="24"/>
        </w:rPr>
        <w:t>投标供应商名称（单位盖</w:t>
      </w:r>
      <w:r>
        <w:rPr>
          <w:rFonts w:hint="eastAsia" w:ascii="宋体" w:hAnsi="Times New Roman" w:eastAsia="宋体" w:cs="宋体"/>
          <w:spacing w:val="4"/>
          <w:kern w:val="0"/>
          <w:szCs w:val="24"/>
        </w:rPr>
        <w:t>公章</w:t>
      </w:r>
      <w:r>
        <w:rPr>
          <w:rFonts w:hint="eastAsia" w:ascii="宋体" w:hAnsi="Times New Roman" w:eastAsia="宋体" w:cs="宋体"/>
          <w:kern w:val="0"/>
          <w:szCs w:val="24"/>
        </w:rPr>
        <w:t>）：</w:t>
      </w:r>
      <w:r>
        <w:rPr>
          <w:rFonts w:hint="eastAsia" w:ascii="宋体" w:hAnsi="Times New Roman" w:eastAsia="宋体" w:cs="宋体"/>
          <w:kern w:val="0"/>
          <w:szCs w:val="24"/>
          <w:u w:val="single"/>
        </w:rPr>
        <w:t>_______________________</w:t>
      </w:r>
    </w:p>
    <w:p>
      <w:pPr>
        <w:widowControl/>
        <w:shd w:val="clear" w:color="auto" w:fill="FFFFFF"/>
        <w:adjustRightInd w:val="0"/>
        <w:snapToGrid w:val="0"/>
        <w:spacing w:line="500" w:lineRule="exact"/>
        <w:ind w:left="3822" w:leftChars="1820"/>
        <w:rPr>
          <w:rFonts w:ascii="宋体" w:hAnsi="Times New Roman" w:eastAsia="宋体" w:cs="宋体"/>
          <w:kern w:val="0"/>
          <w:szCs w:val="24"/>
          <w:u w:val="single"/>
        </w:rPr>
      </w:pPr>
      <w:r>
        <w:rPr>
          <w:rFonts w:hint="eastAsia" w:ascii="宋体" w:hAnsi="Times New Roman" w:eastAsia="宋体" w:cs="宋体"/>
          <w:kern w:val="0"/>
          <w:szCs w:val="24"/>
        </w:rPr>
        <w:t>地址：</w:t>
      </w:r>
      <w:r>
        <w:rPr>
          <w:rFonts w:hint="eastAsia" w:ascii="宋体" w:hAnsi="Times New Roman" w:eastAsia="宋体" w:cs="宋体"/>
          <w:kern w:val="0"/>
          <w:szCs w:val="24"/>
          <w:u w:val="single"/>
        </w:rPr>
        <w:t>___________________________________________</w:t>
      </w:r>
    </w:p>
    <w:p>
      <w:pPr>
        <w:widowControl/>
        <w:shd w:val="clear" w:color="auto" w:fill="FFFFFF"/>
        <w:adjustRightInd w:val="0"/>
        <w:snapToGrid w:val="0"/>
        <w:spacing w:line="500" w:lineRule="exact"/>
        <w:ind w:left="3822" w:leftChars="1820"/>
        <w:rPr>
          <w:rFonts w:ascii="宋体" w:hAnsi="Times New Roman" w:eastAsia="宋体" w:cs="宋体"/>
          <w:kern w:val="0"/>
          <w:szCs w:val="24"/>
          <w:u w:val="single"/>
        </w:rPr>
      </w:pPr>
      <w:r>
        <w:rPr>
          <w:rFonts w:hint="eastAsia" w:ascii="宋体" w:hAnsi="Times New Roman" w:eastAsia="宋体" w:cs="宋体"/>
          <w:kern w:val="0"/>
          <w:szCs w:val="24"/>
        </w:rPr>
        <w:t>签发日期：</w:t>
      </w:r>
      <w:r>
        <w:rPr>
          <w:rFonts w:hint="eastAsia" w:ascii="宋体" w:hAnsi="Times New Roman" w:eastAsia="宋体" w:cs="宋体"/>
          <w:kern w:val="0"/>
          <w:szCs w:val="24"/>
          <w:u w:val="single"/>
        </w:rPr>
        <w:t>_______________________________________</w:t>
      </w:r>
    </w:p>
    <w:p>
      <w:pPr>
        <w:widowControl/>
        <w:shd w:val="clear" w:color="auto" w:fill="FFFFFF"/>
        <w:adjustRightInd w:val="0"/>
        <w:snapToGrid w:val="0"/>
        <w:spacing w:line="500" w:lineRule="exact"/>
        <w:ind w:left="3822" w:leftChars="1820" w:firstLine="422"/>
        <w:rPr>
          <w:rFonts w:ascii="宋体" w:hAnsi="Times New Roman" w:eastAsia="宋体" w:cs="宋体"/>
          <w:b/>
          <w:bCs/>
          <w:kern w:val="0"/>
          <w:szCs w:val="24"/>
          <w:u w:val="single"/>
        </w:rPr>
      </w:pPr>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r>
        <w:rPr>
          <w:rFonts w:ascii="Arial" w:hAnsi="Arial" w:eastAsia="黑体" w:cs="Times New Roman"/>
          <w:b/>
          <w:bCs/>
          <w:sz w:val="28"/>
          <w:szCs w:val="28"/>
        </w:rPr>
        <w:br w:type="page"/>
      </w:r>
      <w:bookmarkStart w:id="121" w:name="_Toc36822691"/>
      <w:r>
        <w:rPr>
          <w:rFonts w:hint="eastAsia" w:ascii="Arial" w:hAnsi="Arial" w:eastAsia="黑体" w:cs="Times New Roman"/>
          <w:b/>
          <w:bCs/>
          <w:sz w:val="28"/>
          <w:szCs w:val="28"/>
        </w:rPr>
        <w:t>、投标供应商基本情况表</w:t>
      </w:r>
      <w:bookmarkEnd w:id="121"/>
    </w:p>
    <w:p>
      <w:pPr>
        <w:spacing w:line="300" w:lineRule="auto"/>
        <w:ind w:firstLine="640"/>
        <w:jc w:val="center"/>
        <w:rPr>
          <w:rFonts w:ascii="宋体" w:hAnsi="Times New Roman" w:eastAsia="宋体" w:cs="Times New Roman"/>
          <w:bCs/>
          <w:sz w:val="32"/>
          <w:szCs w:val="32"/>
        </w:rPr>
      </w:pPr>
      <w:r>
        <w:rPr>
          <w:rFonts w:hint="eastAsia" w:ascii="宋体" w:hAnsi="Times New Roman" w:eastAsia="宋体" w:cs="Times New Roman"/>
          <w:bCs/>
          <w:sz w:val="32"/>
          <w:szCs w:val="32"/>
        </w:rPr>
        <w:t>投标供应商基本情况表</w:t>
      </w:r>
    </w:p>
    <w:p>
      <w:pPr>
        <w:spacing w:line="360" w:lineRule="auto"/>
        <w:ind w:firstLine="422"/>
        <w:rPr>
          <w:rFonts w:ascii="宋体" w:hAnsi="Times New Roman" w:eastAsia="宋体" w:cs="Arial"/>
          <w:b/>
          <w:kern w:val="0"/>
          <w:szCs w:val="21"/>
        </w:rPr>
      </w:pPr>
      <w:r>
        <w:rPr>
          <w:rFonts w:hint="eastAsia" w:ascii="宋体" w:hAnsi="Times New Roman" w:eastAsia="宋体" w:cs="Arial"/>
          <w:b/>
          <w:kern w:val="0"/>
          <w:szCs w:val="21"/>
        </w:rPr>
        <w:t>一、</w:t>
      </w:r>
      <w:r>
        <w:rPr>
          <w:rFonts w:ascii="宋体" w:hAnsi="Times New Roman" w:eastAsia="宋体" w:cs="Arial"/>
          <w:b/>
          <w:kern w:val="0"/>
          <w:szCs w:val="21"/>
        </w:rPr>
        <w:t>公司基本情况</w:t>
      </w:r>
    </w:p>
    <w:p>
      <w:pPr>
        <w:widowControl/>
        <w:numPr>
          <w:ilvl w:val="1"/>
          <w:numId w:val="47"/>
        </w:numPr>
        <w:shd w:val="clear" w:color="auto" w:fill="FFFFFF"/>
        <w:tabs>
          <w:tab w:val="left" w:pos="426"/>
        </w:tabs>
        <w:adjustRightInd w:val="0"/>
        <w:snapToGrid w:val="0"/>
        <w:spacing w:line="360" w:lineRule="auto"/>
        <w:ind w:left="0" w:firstLine="0"/>
        <w:rPr>
          <w:rFonts w:ascii="宋体" w:hAnsi="Times New Roman" w:eastAsia="宋体" w:cs="Arial"/>
          <w:kern w:val="0"/>
          <w:szCs w:val="21"/>
        </w:rPr>
      </w:pPr>
      <w:r>
        <w:rPr>
          <w:rFonts w:ascii="宋体" w:hAnsi="Times New Roman" w:eastAsia="宋体" w:cs="Arial"/>
          <w:kern w:val="0"/>
          <w:szCs w:val="21"/>
        </w:rPr>
        <w:t>公司名称：</w:t>
      </w:r>
      <w:r>
        <w:rPr>
          <w:rFonts w:ascii="宋体" w:hAnsi="Times New Roman" w:eastAsia="宋体" w:cs="Arial"/>
          <w:kern w:val="0"/>
          <w:szCs w:val="21"/>
          <w:u w:val="single"/>
        </w:rPr>
        <w:t>__</w:t>
      </w:r>
      <w:r>
        <w:rPr>
          <w:rFonts w:hint="eastAsia" w:ascii="宋体" w:hAnsi="Times New Roman" w:eastAsia="宋体" w:cs="Arial"/>
          <w:kern w:val="0"/>
          <w:szCs w:val="21"/>
          <w:u w:val="single"/>
        </w:rPr>
        <w:t>_________________________________________</w:t>
      </w:r>
      <w:r>
        <w:rPr>
          <w:rFonts w:ascii="宋体" w:hAnsi="Times New Roman" w:eastAsia="宋体" w:cs="Arial"/>
          <w:kern w:val="0"/>
          <w:szCs w:val="21"/>
        </w:rPr>
        <w:t>电话号码：</w:t>
      </w:r>
      <w:r>
        <w:rPr>
          <w:rFonts w:hint="eastAsia" w:ascii="宋体" w:hAnsi="Times New Roman" w:eastAsia="宋体" w:cs="Arial"/>
          <w:kern w:val="0"/>
          <w:szCs w:val="21"/>
          <w:u w:val="single"/>
        </w:rPr>
        <w:t>_____________________</w:t>
      </w:r>
    </w:p>
    <w:p>
      <w:pPr>
        <w:widowControl/>
        <w:numPr>
          <w:ilvl w:val="1"/>
          <w:numId w:val="47"/>
        </w:numPr>
        <w:shd w:val="clear" w:color="auto" w:fill="FFFFFF"/>
        <w:tabs>
          <w:tab w:val="left" w:pos="426"/>
        </w:tabs>
        <w:adjustRightInd w:val="0"/>
        <w:snapToGrid w:val="0"/>
        <w:spacing w:line="360" w:lineRule="auto"/>
        <w:ind w:left="0" w:firstLine="0"/>
        <w:rPr>
          <w:rFonts w:ascii="宋体" w:hAnsi="Times New Roman" w:eastAsia="宋体" w:cs="Arial"/>
          <w:kern w:val="0"/>
          <w:szCs w:val="21"/>
        </w:rPr>
      </w:pPr>
      <w:r>
        <w:rPr>
          <w:rFonts w:ascii="宋体" w:hAnsi="Times New Roman" w:eastAsia="宋体" w:cs="Arial"/>
          <w:kern w:val="0"/>
          <w:szCs w:val="21"/>
        </w:rPr>
        <w:t>地    址：</w:t>
      </w:r>
      <w:r>
        <w:rPr>
          <w:rFonts w:ascii="宋体" w:hAnsi="Times New Roman" w:eastAsia="宋体" w:cs="Arial"/>
          <w:kern w:val="0"/>
          <w:szCs w:val="21"/>
          <w:u w:val="single"/>
        </w:rPr>
        <w:t>__</w:t>
      </w:r>
      <w:r>
        <w:rPr>
          <w:rFonts w:hint="eastAsia" w:ascii="宋体" w:hAnsi="Times New Roman" w:eastAsia="宋体" w:cs="Arial"/>
          <w:kern w:val="0"/>
          <w:szCs w:val="21"/>
          <w:u w:val="single"/>
        </w:rPr>
        <w:t>_________________________________________</w:t>
      </w:r>
      <w:r>
        <w:rPr>
          <w:rFonts w:ascii="宋体" w:hAnsi="Times New Roman" w:eastAsia="宋体" w:cs="Arial"/>
          <w:kern w:val="0"/>
          <w:szCs w:val="21"/>
        </w:rPr>
        <w:t>传    真：</w:t>
      </w:r>
      <w:r>
        <w:rPr>
          <w:rFonts w:hint="eastAsia" w:ascii="宋体" w:hAnsi="Times New Roman" w:eastAsia="宋体" w:cs="Arial"/>
          <w:kern w:val="0"/>
          <w:szCs w:val="21"/>
          <w:u w:val="single"/>
        </w:rPr>
        <w:t>_____________________</w:t>
      </w:r>
    </w:p>
    <w:p>
      <w:pPr>
        <w:widowControl/>
        <w:numPr>
          <w:ilvl w:val="1"/>
          <w:numId w:val="47"/>
        </w:numPr>
        <w:shd w:val="clear" w:color="auto" w:fill="FFFFFF"/>
        <w:tabs>
          <w:tab w:val="left" w:pos="426"/>
        </w:tabs>
        <w:adjustRightInd w:val="0"/>
        <w:snapToGrid w:val="0"/>
        <w:spacing w:line="360" w:lineRule="auto"/>
        <w:ind w:left="0" w:firstLine="0"/>
        <w:rPr>
          <w:rFonts w:ascii="宋体" w:hAnsi="Times New Roman" w:eastAsia="宋体" w:cs="Arial"/>
          <w:kern w:val="0"/>
          <w:szCs w:val="21"/>
          <w:u w:val="single"/>
        </w:rPr>
      </w:pPr>
      <w:r>
        <w:rPr>
          <w:rFonts w:ascii="宋体" w:hAnsi="Times New Roman" w:eastAsia="宋体" w:cs="Arial"/>
          <w:kern w:val="0"/>
          <w:szCs w:val="21"/>
        </w:rPr>
        <w:t>注册资金：</w:t>
      </w:r>
      <w:r>
        <w:rPr>
          <w:rFonts w:ascii="宋体" w:hAnsi="Times New Roman" w:eastAsia="宋体" w:cs="Arial"/>
          <w:kern w:val="0"/>
          <w:szCs w:val="21"/>
          <w:u w:val="single"/>
        </w:rPr>
        <w:t>__</w:t>
      </w:r>
      <w:r>
        <w:rPr>
          <w:rFonts w:hint="eastAsia" w:ascii="宋体" w:hAnsi="Times New Roman" w:eastAsia="宋体" w:cs="Arial"/>
          <w:kern w:val="0"/>
          <w:szCs w:val="21"/>
          <w:u w:val="single"/>
        </w:rPr>
        <w:t>_________________________________________</w:t>
      </w:r>
      <w:r>
        <w:rPr>
          <w:rFonts w:ascii="宋体" w:hAnsi="Times New Roman" w:eastAsia="宋体" w:cs="Arial"/>
          <w:kern w:val="0"/>
          <w:szCs w:val="21"/>
        </w:rPr>
        <w:t>经济性质：</w:t>
      </w:r>
      <w:r>
        <w:rPr>
          <w:rFonts w:hint="eastAsia" w:ascii="宋体" w:hAnsi="Times New Roman" w:eastAsia="宋体" w:cs="Arial"/>
          <w:kern w:val="0"/>
          <w:szCs w:val="21"/>
          <w:u w:val="single"/>
        </w:rPr>
        <w:t>_________________</w:t>
      </w:r>
      <w:r>
        <w:rPr>
          <w:rFonts w:ascii="宋体" w:hAnsi="Times New Roman" w:eastAsia="宋体" w:cs="Arial"/>
          <w:kern w:val="0"/>
          <w:szCs w:val="21"/>
          <w:u w:val="single"/>
        </w:rPr>
        <w:t>___</w:t>
      </w:r>
    </w:p>
    <w:p>
      <w:pPr>
        <w:widowControl/>
        <w:numPr>
          <w:ilvl w:val="1"/>
          <w:numId w:val="47"/>
        </w:numPr>
        <w:shd w:val="clear" w:color="auto" w:fill="FFFFFF"/>
        <w:tabs>
          <w:tab w:val="left" w:pos="426"/>
        </w:tabs>
        <w:adjustRightInd w:val="0"/>
        <w:snapToGrid w:val="0"/>
        <w:spacing w:line="360" w:lineRule="auto"/>
        <w:ind w:left="0" w:firstLine="0"/>
        <w:rPr>
          <w:rFonts w:ascii="宋体" w:hAnsi="Times New Roman" w:eastAsia="宋体" w:cs="Arial"/>
          <w:kern w:val="0"/>
          <w:szCs w:val="21"/>
          <w:u w:val="single"/>
        </w:rPr>
      </w:pPr>
      <w:r>
        <w:rPr>
          <w:rFonts w:ascii="宋体" w:hAnsi="Times New Roman" w:eastAsia="宋体" w:cs="Arial"/>
          <w:kern w:val="0"/>
          <w:szCs w:val="21"/>
        </w:rPr>
        <w:t>公司开户银行名称及账号：</w:t>
      </w:r>
      <w:r>
        <w:rPr>
          <w:rFonts w:hint="eastAsia" w:ascii="宋体" w:hAnsi="Times New Roman" w:eastAsia="宋体" w:cs="Arial"/>
          <w:kern w:val="0"/>
          <w:szCs w:val="21"/>
          <w:u w:val="single"/>
        </w:rPr>
        <w:t>____________________________________________________________</w:t>
      </w:r>
    </w:p>
    <w:p>
      <w:pPr>
        <w:widowControl/>
        <w:numPr>
          <w:ilvl w:val="1"/>
          <w:numId w:val="47"/>
        </w:numPr>
        <w:shd w:val="clear" w:color="auto" w:fill="FFFFFF"/>
        <w:tabs>
          <w:tab w:val="left" w:pos="426"/>
        </w:tabs>
        <w:adjustRightInd w:val="0"/>
        <w:snapToGrid w:val="0"/>
        <w:spacing w:line="360" w:lineRule="auto"/>
        <w:ind w:left="0" w:firstLine="0"/>
        <w:rPr>
          <w:rFonts w:ascii="宋体" w:hAnsi="Times New Roman" w:eastAsia="宋体" w:cs="Arial"/>
          <w:kern w:val="0"/>
          <w:szCs w:val="21"/>
        </w:rPr>
      </w:pPr>
      <w:r>
        <w:rPr>
          <w:rFonts w:ascii="宋体" w:hAnsi="Times New Roman" w:eastAsia="宋体" w:cs="Arial"/>
          <w:kern w:val="0"/>
          <w:szCs w:val="21"/>
        </w:rPr>
        <w:t>营业注册执照号：</w:t>
      </w:r>
      <w:r>
        <w:rPr>
          <w:rFonts w:hint="eastAsia" w:ascii="宋体" w:hAnsi="Times New Roman" w:eastAsia="宋体" w:cs="Arial"/>
          <w:kern w:val="0"/>
          <w:szCs w:val="21"/>
          <w:u w:val="single"/>
        </w:rPr>
        <w:t>____________________________________________________________________</w:t>
      </w:r>
    </w:p>
    <w:p>
      <w:pPr>
        <w:widowControl/>
        <w:numPr>
          <w:ilvl w:val="1"/>
          <w:numId w:val="47"/>
        </w:numPr>
        <w:shd w:val="clear" w:color="auto" w:fill="FFFFFF"/>
        <w:tabs>
          <w:tab w:val="left" w:pos="426"/>
        </w:tabs>
        <w:adjustRightInd w:val="0"/>
        <w:snapToGrid w:val="0"/>
        <w:spacing w:line="360" w:lineRule="auto"/>
        <w:ind w:left="0" w:firstLine="0"/>
        <w:rPr>
          <w:rFonts w:ascii="宋体" w:hAnsi="Times New Roman" w:eastAsia="宋体" w:cs="Arial"/>
          <w:kern w:val="0"/>
          <w:szCs w:val="21"/>
        </w:rPr>
      </w:pPr>
      <w:r>
        <w:rPr>
          <w:rFonts w:ascii="宋体" w:hAnsi="Times New Roman" w:eastAsia="宋体" w:cs="Arial"/>
          <w:kern w:val="0"/>
          <w:szCs w:val="21"/>
        </w:rPr>
        <w:t>公司简介</w:t>
      </w:r>
      <w:r>
        <w:rPr>
          <w:rFonts w:hint="eastAsia" w:ascii="宋体" w:hAnsi="Times New Roman" w:eastAsia="宋体" w:cs="Arial"/>
          <w:kern w:val="0"/>
          <w:szCs w:val="21"/>
          <w:u w:val="single"/>
        </w:rPr>
        <w:t>___________________________________________________________________________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rPr>
      </w:pPr>
      <w:r>
        <w:rPr>
          <w:rFonts w:hint="eastAsia" w:ascii="宋体" w:hAnsi="Times New Roman" w:eastAsia="宋体" w:cs="宋体"/>
          <w:kern w:val="0"/>
          <w:szCs w:val="24"/>
        </w:rPr>
        <w:t>文字描述：</w:t>
      </w:r>
      <w:r>
        <w:rPr>
          <w:rFonts w:hint="eastAsia" w:ascii="宋体" w:hAnsi="Times New Roman" w:eastAsia="宋体" w:cs="宋体"/>
          <w:bCs/>
          <w:kern w:val="0"/>
          <w:szCs w:val="21"/>
          <w:lang w:val="en-GB"/>
        </w:rPr>
        <w:t>发展历程、经营规模及服务理念</w:t>
      </w:r>
      <w:r>
        <w:rPr>
          <w:rFonts w:hint="eastAsia" w:ascii="宋体" w:hAnsi="Times New Roman" w:eastAsia="宋体" w:cs="宋体"/>
          <w:kern w:val="0"/>
          <w:szCs w:val="24"/>
        </w:rPr>
        <w:t>、技术力量、财务状况、</w:t>
      </w:r>
      <w:r>
        <w:rPr>
          <w:rFonts w:ascii="宋体" w:hAnsi="Times New Roman" w:eastAsia="宋体" w:cs="宋体"/>
          <w:kern w:val="0"/>
          <w:szCs w:val="24"/>
        </w:rPr>
        <w:t>管理水平</w:t>
      </w:r>
      <w:r>
        <w:rPr>
          <w:rFonts w:hint="eastAsia" w:ascii="宋体" w:hAnsi="Times New Roman" w:eastAsia="宋体" w:cs="宋体"/>
          <w:kern w:val="0"/>
          <w:szCs w:val="24"/>
        </w:rPr>
        <w:t>等方面进行阐述；</w:t>
      </w:r>
    </w:p>
    <w:p>
      <w:pPr>
        <w:widowControl/>
        <w:shd w:val="clear" w:color="auto" w:fill="FFFFFF"/>
        <w:adjustRightInd w:val="0"/>
        <w:snapToGrid w:val="0"/>
        <w:spacing w:line="360" w:lineRule="auto"/>
        <w:ind w:firstLine="420"/>
        <w:rPr>
          <w:rFonts w:ascii="宋体" w:hAnsi="Times New Roman" w:eastAsia="宋体" w:cs="Arial"/>
          <w:kern w:val="0"/>
          <w:szCs w:val="21"/>
        </w:rPr>
      </w:pPr>
      <w:r>
        <w:rPr>
          <w:rFonts w:hint="eastAsia" w:ascii="宋体" w:hAnsi="Times New Roman" w:eastAsia="宋体" w:cs="宋体"/>
          <w:kern w:val="0"/>
          <w:szCs w:val="24"/>
        </w:rPr>
        <w:t>图片描述：</w:t>
      </w:r>
      <w:r>
        <w:rPr>
          <w:rFonts w:hint="eastAsia" w:ascii="宋体" w:hAnsi="Times New Roman" w:eastAsia="宋体" w:cs="宋体"/>
          <w:bCs/>
          <w:kern w:val="0"/>
          <w:szCs w:val="21"/>
          <w:lang w:val="en-GB"/>
        </w:rPr>
        <w:t>经营场所、主要或关键产品介绍、生产场所及服务流程等。</w:t>
      </w:r>
    </w:p>
    <w:p>
      <w:pPr>
        <w:spacing w:line="360" w:lineRule="auto"/>
        <w:ind w:firstLine="422"/>
        <w:rPr>
          <w:rFonts w:ascii="宋体" w:hAnsi="Times New Roman" w:eastAsia="宋体" w:cs="Arial"/>
          <w:b/>
          <w:kern w:val="0"/>
          <w:szCs w:val="21"/>
        </w:rPr>
      </w:pPr>
      <w:r>
        <w:rPr>
          <w:rFonts w:hint="eastAsia" w:ascii="宋体" w:hAnsi="Times New Roman" w:eastAsia="宋体" w:cs="Arial"/>
          <w:b/>
          <w:kern w:val="0"/>
          <w:szCs w:val="21"/>
        </w:rPr>
        <w:t>二、供应商资格证明文件</w:t>
      </w:r>
    </w:p>
    <w:p>
      <w:pPr>
        <w:widowControl/>
        <w:shd w:val="clear" w:color="auto" w:fill="FFFFFF"/>
        <w:adjustRightInd w:val="0"/>
        <w:snapToGrid w:val="0"/>
        <w:spacing w:before="231" w:beforeLines="50" w:line="360" w:lineRule="auto"/>
        <w:ind w:firstLine="424" w:firstLineChars="201"/>
        <w:rPr>
          <w:rFonts w:ascii="宋体" w:hAnsi="Times New Roman" w:eastAsia="宋体" w:cs="宋体"/>
          <w:b/>
          <w:kern w:val="0"/>
          <w:szCs w:val="24"/>
        </w:rPr>
      </w:pPr>
      <w:r>
        <w:rPr>
          <w:rFonts w:hint="eastAsia" w:ascii="宋体" w:hAnsi="Times New Roman" w:eastAsia="宋体" w:cs="宋体"/>
          <w:b/>
          <w:kern w:val="0"/>
          <w:szCs w:val="24"/>
        </w:rPr>
        <w:t>（一）投标供应商须按本招标文件第一章招标公告第二条“申请人的资格要求”提供相关的资质证明，且已接受报名的单位，不代表资格审查通过。投标文件中未提供或提供不完整、不符合要求的，投标文件将按无效标的情形处理。</w:t>
      </w:r>
    </w:p>
    <w:p>
      <w:pPr>
        <w:widowControl/>
        <w:shd w:val="clear" w:color="auto" w:fill="FFFFFF"/>
        <w:adjustRightInd w:val="0"/>
        <w:snapToGrid w:val="0"/>
        <w:spacing w:before="231" w:beforeLines="50" w:line="360" w:lineRule="auto"/>
        <w:ind w:firstLine="424" w:firstLineChars="201"/>
        <w:rPr>
          <w:rFonts w:ascii="宋体" w:hAnsi="Times New Roman" w:eastAsia="宋体" w:cs="宋体"/>
          <w:b/>
          <w:kern w:val="0"/>
          <w:szCs w:val="24"/>
        </w:rPr>
      </w:pPr>
      <w:r>
        <w:rPr>
          <w:rFonts w:hint="eastAsia" w:ascii="宋体" w:hAnsi="Times New Roman" w:eastAsia="宋体" w:cs="宋体"/>
          <w:b/>
          <w:kern w:val="0"/>
          <w:szCs w:val="24"/>
        </w:rPr>
        <w:t>（二）优惠政策声明函等证明文件</w:t>
      </w:r>
    </w:p>
    <w:p>
      <w:pPr>
        <w:widowControl/>
        <w:shd w:val="clear" w:color="auto" w:fill="FFFFFF"/>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填写指引：</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2.该部分内容填写需要参考的相关文件（</w:t>
      </w:r>
      <w:r>
        <w:rPr>
          <w:rFonts w:ascii="Times New Roman" w:hAnsi="Times New Roman" w:eastAsia="宋体" w:cs="Times New Roman"/>
          <w:kern w:val="0"/>
          <w:szCs w:val="24"/>
          <w:u w:val="single"/>
        </w:rPr>
        <w:t>-</w:t>
      </w:r>
      <w:r>
        <w:fldChar w:fldCharType="begin"/>
      </w:r>
      <w:r>
        <w:instrText xml:space="preserve"> HYPERLINK "http://www.szsszx.com/Files/Editor/file/202106041655230146.rar" </w:instrText>
      </w:r>
      <w:r>
        <w:fldChar w:fldCharType="separate"/>
      </w:r>
      <w:r>
        <w:rPr>
          <w:rFonts w:ascii="Times New Roman" w:hAnsi="Times New Roman" w:eastAsia="宋体" w:cs="Times New Roman"/>
          <w:bCs/>
          <w:kern w:val="0"/>
          <w:szCs w:val="21"/>
          <w:u w:val="single"/>
        </w:rPr>
        <w:t>点此下载</w:t>
      </w:r>
      <w:r>
        <w:rPr>
          <w:rFonts w:ascii="Times New Roman" w:hAnsi="Times New Roman" w:eastAsia="宋体" w:cs="Times New Roman"/>
          <w:bCs/>
          <w:kern w:val="0"/>
          <w:szCs w:val="21"/>
          <w:u w:val="single"/>
        </w:rPr>
        <w:fldChar w:fldCharType="end"/>
      </w:r>
      <w:r>
        <w:rPr>
          <w:rFonts w:ascii="Times New Roman" w:hAnsi="Times New Roman" w:eastAsia="宋体" w:cs="Times New Roman"/>
          <w:kern w:val="0"/>
          <w:szCs w:val="24"/>
          <w:u w:val="single"/>
        </w:rPr>
        <w:t>-</w:t>
      </w:r>
      <w:r>
        <w:rPr>
          <w:rFonts w:ascii="Times New Roman" w:hAnsi="Times New Roman" w:eastAsia="宋体" w:cs="Times New Roman"/>
          <w:bCs/>
          <w:kern w:val="0"/>
          <w:szCs w:val="21"/>
        </w:rPr>
        <w:t>）：</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（1）《深圳市财政局关于落实有关政府采购优惠政策的意见》（深财购函〔2019〕868号）；</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（2）财政部《关于印发&lt;政府采购促进中小企业发展管理办法&gt;的通知》（财库〔2020〕46号）；</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（3）《工业和信息化部、国家统计局、国家发展和改革委员会、财政部关于印发中小企业划型标准规定的通知》（工信部联企业〔2011〕300号）。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3.请依照提供的格式和内容填写声明函，不要随意变更格式或增删内容；满足多项优惠政策的企业，不重复享受多项价格扣除政策。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4.声明函具体填写要求：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（1）声明是中小企业须填写《中小企业声明函》的以下五项内容（填写位置的字体已加粗）：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第一处，在下划线上如实填写中型或小型或微型；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第二处，在下划线上如实填写中型或小型或微型；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第三处，在“采购单位名称”下划线处填写本项目的实际采购单位名称（深圳市深水水务咨询有限公司不是本项目的采购单位，而是本项目的组织实施机构）；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第四处，在“采购项目名称”下划线处填写本项目的实际项目名称（项目名称可在招标公告处查看）；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第五处，在“□本企业制造的货物” 或“□提供其他</w:t>
      </w:r>
      <w:r>
        <w:rPr>
          <w:rFonts w:ascii="Times New Roman" w:hAnsi="Times New Roman" w:eastAsia="宋体" w:cs="Times New Roman"/>
          <w:bCs/>
          <w:kern w:val="0"/>
          <w:szCs w:val="21"/>
          <w:u w:val="single"/>
        </w:rPr>
        <w:t>______</w:t>
      </w:r>
      <w:r>
        <w:rPr>
          <w:rFonts w:ascii="Times New Roman" w:hAnsi="Times New Roman" w:eastAsia="宋体" w:cs="Times New Roman"/>
          <w:bCs/>
          <w:kern w:val="0"/>
          <w:szCs w:val="21"/>
        </w:rPr>
        <w:t>企业（请填写：中型、小型、微型）制造的货物”两处中选择一处打√；如选择在“□提供其他</w:t>
      </w:r>
      <w:r>
        <w:rPr>
          <w:rFonts w:ascii="Times New Roman" w:hAnsi="Times New Roman" w:eastAsia="宋体" w:cs="Times New Roman"/>
          <w:bCs/>
          <w:kern w:val="0"/>
          <w:szCs w:val="21"/>
          <w:u w:val="single"/>
        </w:rPr>
        <w:t>______</w:t>
      </w:r>
      <w:r>
        <w:rPr>
          <w:rFonts w:ascii="Times New Roman" w:hAnsi="Times New Roman" w:eastAsia="宋体" w:cs="Times New Roman"/>
          <w:bCs/>
          <w:kern w:val="0"/>
          <w:szCs w:val="21"/>
        </w:rPr>
        <w:t xml:space="preserve">企业（请填写：中型、小型、微型）制造的货物”一处打√，还须在此下划线处如实填写中型或小型或微型；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同时请注意：“□本企业制造的货物” 、“□提供其他</w:t>
      </w:r>
      <w:r>
        <w:rPr>
          <w:rFonts w:ascii="Times New Roman" w:hAnsi="Times New Roman" w:eastAsia="宋体" w:cs="Times New Roman"/>
          <w:bCs/>
          <w:kern w:val="0"/>
          <w:szCs w:val="21"/>
          <w:u w:val="single"/>
        </w:rPr>
        <w:t>______</w:t>
      </w:r>
      <w:r>
        <w:rPr>
          <w:rFonts w:ascii="Times New Roman" w:hAnsi="Times New Roman" w:eastAsia="宋体" w:cs="Times New Roman"/>
          <w:bCs/>
          <w:kern w:val="0"/>
          <w:szCs w:val="21"/>
        </w:rPr>
        <w:t xml:space="preserve">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（2）声明是残疾人福利性单位须填写《残疾人福利性单位声明函》的三项内容（填写位置的字体已加粗），具体参照以上《中小企业声明函》填写要求执行。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（3）声明是监狱企业须填写《监狱企业声明函》的三项内容（填写位置的字体已加粗），具体参照以上《中小企业声明函》填写要求执行。 </w:t>
      </w:r>
    </w:p>
    <w:p>
      <w:pPr>
        <w:widowControl/>
        <w:shd w:val="clear" w:color="auto" w:fill="FFFFFF"/>
        <w:adjustRightInd w:val="0"/>
        <w:snapToGrid w:val="0"/>
        <w:ind w:left="-2" w:leftChars="-1"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5.声明函的有效性最终由评审委员会判定；如评审委员会判定声明函无效，相关供应商不享受价格扣除（但不作投标无效处理）。</w:t>
      </w:r>
    </w:p>
    <w:p>
      <w:pPr>
        <w:widowControl/>
        <w:adjustRightInd w:val="0"/>
        <w:snapToGrid w:val="0"/>
        <w:jc w:val="left"/>
        <w:rPr>
          <w:rFonts w:ascii="Times New Roman" w:hAnsi="Times New Roman" w:eastAsia="宋体" w:cs="Times New Roman"/>
          <w:kern w:val="0"/>
          <w:szCs w:val="21"/>
        </w:rPr>
      </w:pPr>
    </w:p>
    <w:p>
      <w:pPr>
        <w:widowControl/>
        <w:shd w:val="clear" w:color="auto" w:fill="FFFFFF"/>
        <w:tabs>
          <w:tab w:val="left" w:pos="426"/>
        </w:tabs>
        <w:adjustRightInd w:val="0"/>
        <w:snapToGrid w:val="0"/>
        <w:spacing w:line="360" w:lineRule="auto"/>
        <w:rPr>
          <w:rFonts w:ascii="Times New Roman" w:hAnsi="Times New Roman" w:eastAsia="宋体" w:cs="Times New Roman"/>
          <w:kern w:val="0"/>
          <w:szCs w:val="24"/>
        </w:rPr>
      </w:pPr>
    </w:p>
    <w:p>
      <w:pPr>
        <w:widowControl/>
        <w:shd w:val="clear" w:color="auto" w:fill="FFFFFF"/>
        <w:tabs>
          <w:tab w:val="left" w:pos="426"/>
        </w:tabs>
        <w:adjustRightInd w:val="0"/>
        <w:snapToGrid w:val="0"/>
        <w:ind w:firstLine="643" w:firstLineChars="200"/>
        <w:jc w:val="center"/>
        <w:rPr>
          <w:rFonts w:ascii="Times New Roman" w:hAnsi="Times New Roman" w:eastAsia="宋体" w:cs="Times New Roman"/>
          <w:b/>
          <w:kern w:val="0"/>
          <w:sz w:val="32"/>
          <w:szCs w:val="32"/>
        </w:rPr>
      </w:pPr>
      <w:r>
        <w:rPr>
          <w:rFonts w:ascii="Times New Roman" w:hAnsi="Times New Roman" w:eastAsia="宋体" w:cs="Times New Roman"/>
          <w:b/>
          <w:kern w:val="0"/>
          <w:sz w:val="32"/>
          <w:szCs w:val="32"/>
        </w:rPr>
        <w:t>（一）中小企业声明函（样表）</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本公司郑重声明，根据《关于印发&lt;政府采购促进中小企业发展管理办法&gt;的通知》（财库〔2020〕46号）的规定，本公司（联合体）参加</w:t>
      </w:r>
      <w:r>
        <w:rPr>
          <w:rFonts w:ascii="Times New Roman" w:hAnsi="Times New Roman" w:eastAsia="宋体" w:cs="Times New Roman"/>
          <w:kern w:val="0"/>
          <w:szCs w:val="21"/>
          <w:u w:val="single"/>
        </w:rPr>
        <w:t>(采购单位名称全称)</w:t>
      </w:r>
      <w:r>
        <w:rPr>
          <w:rFonts w:ascii="Times New Roman" w:hAnsi="Times New Roman" w:eastAsia="宋体" w:cs="Times New Roman"/>
          <w:kern w:val="0"/>
          <w:szCs w:val="21"/>
        </w:rPr>
        <w:t>的</w:t>
      </w:r>
      <w:r>
        <w:rPr>
          <w:rFonts w:ascii="Times New Roman" w:hAnsi="Times New Roman" w:eastAsia="宋体" w:cs="Times New Roman"/>
          <w:kern w:val="0"/>
          <w:szCs w:val="21"/>
          <w:u w:val="single"/>
        </w:rPr>
        <w:t>（项目名称全称）</w:t>
      </w:r>
      <w:r>
        <w:rPr>
          <w:rFonts w:ascii="Times New Roman" w:hAnsi="Times New Roman" w:eastAsia="宋体" w:cs="Times New Roman"/>
          <w:kern w:val="0"/>
          <w:szCs w:val="21"/>
        </w:rPr>
        <w:t>采购活动，</w:t>
      </w:r>
      <w:r>
        <w:rPr>
          <w:rFonts w:ascii="Times New Roman" w:hAnsi="Times New Roman" w:eastAsia="宋体" w:cs="Times New Roman"/>
          <w:kern w:val="0"/>
          <w:szCs w:val="21"/>
          <w:u w:val="single"/>
        </w:rPr>
        <w:t>________________________</w:t>
      </w:r>
      <w:r>
        <w:rPr>
          <w:rFonts w:ascii="Times New Roman" w:hAnsi="Times New Roman" w:eastAsia="宋体" w:cs="Times New Roman"/>
          <w:kern w:val="0"/>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1.（标的名称），属于（采购文件中明确的所属行业）；承建（承接）企业为（企业名称），从业人员</w:t>
      </w:r>
      <w:r>
        <w:rPr>
          <w:rFonts w:ascii="Times New Roman" w:hAnsi="Times New Roman" w:eastAsia="宋体" w:cs="Times New Roman"/>
          <w:kern w:val="0"/>
          <w:szCs w:val="21"/>
          <w:u w:val="single"/>
        </w:rPr>
        <w:t>____</w:t>
      </w:r>
      <w:r>
        <w:rPr>
          <w:rFonts w:ascii="Times New Roman" w:hAnsi="Times New Roman" w:eastAsia="宋体" w:cs="Times New Roman"/>
          <w:kern w:val="0"/>
          <w:szCs w:val="21"/>
        </w:rPr>
        <w:t>人，营业收入为</w:t>
      </w:r>
      <w:r>
        <w:rPr>
          <w:rFonts w:ascii="Times New Roman" w:hAnsi="Times New Roman" w:eastAsia="宋体" w:cs="Times New Roman"/>
          <w:kern w:val="0"/>
          <w:szCs w:val="21"/>
          <w:u w:val="single"/>
        </w:rPr>
        <w:t>____</w:t>
      </w:r>
      <w:r>
        <w:rPr>
          <w:rFonts w:ascii="Times New Roman" w:hAnsi="Times New Roman" w:eastAsia="宋体" w:cs="Times New Roman"/>
          <w:kern w:val="0"/>
          <w:szCs w:val="21"/>
        </w:rPr>
        <w:t>万元，资产总额为</w:t>
      </w:r>
      <w:r>
        <w:rPr>
          <w:rFonts w:ascii="Times New Roman" w:hAnsi="Times New Roman" w:eastAsia="宋体" w:cs="Times New Roman"/>
          <w:kern w:val="0"/>
          <w:szCs w:val="21"/>
          <w:u w:val="single"/>
        </w:rPr>
        <w:t>____</w:t>
      </w:r>
      <w:r>
        <w:rPr>
          <w:rFonts w:ascii="Times New Roman" w:hAnsi="Times New Roman" w:eastAsia="宋体" w:cs="Times New Roman"/>
          <w:kern w:val="0"/>
          <w:szCs w:val="21"/>
        </w:rPr>
        <w:t>万元1，属于（中型企业、小型企业、微型企业）；</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2.（标的名称），属于（采购文件中明确的所属行业）；承建（承接）企业为（企业名称），从业人员</w:t>
      </w:r>
      <w:r>
        <w:rPr>
          <w:rFonts w:ascii="Times New Roman" w:hAnsi="Times New Roman" w:eastAsia="宋体" w:cs="Times New Roman"/>
          <w:kern w:val="0"/>
          <w:szCs w:val="21"/>
          <w:u w:val="single"/>
        </w:rPr>
        <w:t>____</w:t>
      </w:r>
      <w:r>
        <w:rPr>
          <w:rFonts w:ascii="Times New Roman" w:hAnsi="Times New Roman" w:eastAsia="宋体" w:cs="Times New Roman"/>
          <w:kern w:val="0"/>
          <w:szCs w:val="21"/>
        </w:rPr>
        <w:t>人，营业收入为</w:t>
      </w:r>
      <w:r>
        <w:rPr>
          <w:rFonts w:ascii="Times New Roman" w:hAnsi="Times New Roman" w:eastAsia="宋体" w:cs="Times New Roman"/>
          <w:kern w:val="0"/>
          <w:szCs w:val="21"/>
          <w:u w:val="single"/>
        </w:rPr>
        <w:t>____</w:t>
      </w:r>
      <w:r>
        <w:rPr>
          <w:rFonts w:ascii="Times New Roman" w:hAnsi="Times New Roman" w:eastAsia="宋体" w:cs="Times New Roman"/>
          <w:kern w:val="0"/>
          <w:szCs w:val="21"/>
        </w:rPr>
        <w:t>万元，资产总额为</w:t>
      </w:r>
      <w:r>
        <w:rPr>
          <w:rFonts w:ascii="Times New Roman" w:hAnsi="Times New Roman" w:eastAsia="宋体" w:cs="Times New Roman"/>
          <w:kern w:val="0"/>
          <w:szCs w:val="21"/>
          <w:u w:val="single"/>
        </w:rPr>
        <w:t>____</w:t>
      </w:r>
      <w:r>
        <w:rPr>
          <w:rFonts w:ascii="Times New Roman" w:hAnsi="Times New Roman" w:eastAsia="宋体" w:cs="Times New Roman"/>
          <w:kern w:val="0"/>
          <w:szCs w:val="21"/>
        </w:rPr>
        <w:t>万元，属于（中型企业、小型企业、微型企业）；</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以上企业，不属于大企业的分支机构，不存在控股股东为大企业的情形，也不存在与大企业的负责人为同一人的情形。</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本企业对上述声明内容的真实性负责。如有虚假，将依法承担相应责任。</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企业名称（盖章）：</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日期：</w:t>
      </w: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备注：1、从业人员、营业收入、资产总额填报上一年度数据，无上一年度数据的新成立企业可不填报。</w:t>
      </w: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643" w:firstLineChars="200"/>
        <w:jc w:val="center"/>
        <w:rPr>
          <w:rFonts w:ascii="Times New Roman" w:hAnsi="Times New Roman" w:eastAsia="宋体" w:cs="Times New Roman"/>
          <w:b/>
          <w:kern w:val="0"/>
          <w:sz w:val="32"/>
          <w:szCs w:val="32"/>
        </w:rPr>
      </w:pPr>
      <w:r>
        <w:rPr>
          <w:rFonts w:ascii="Times New Roman" w:hAnsi="Times New Roman" w:eastAsia="宋体" w:cs="Times New Roman"/>
          <w:b/>
          <w:kern w:val="0"/>
          <w:sz w:val="32"/>
          <w:szCs w:val="32"/>
        </w:rPr>
        <w:t>（二）残疾人福利性单位声明函（样表）</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本单位已知悉《关于促进残疾人就业政府采购政策的通知》（财库〔2017〕141号）的规定，承诺提供的声明函内容是真实的，如提供声明函内容不实，则依法追究相关法律责任。</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本单位郑重声明，根据《财政部民政部中国残疾人联合会关于促进残疾人就业政府采购政策的通知》（财库〔2017〕141</w:t>
      </w:r>
      <w:r>
        <w:rPr>
          <w:rFonts w:ascii="Times New Roman" w:hAnsi="Times New Roman" w:eastAsia="宋体" w:cs="Times New Roman"/>
          <w:kern w:val="0"/>
          <w:szCs w:val="21"/>
          <w:u w:val="single"/>
        </w:rPr>
        <w:t>_</w:t>
      </w:r>
      <w:r>
        <w:rPr>
          <w:rFonts w:ascii="Times New Roman" w:hAnsi="Times New Roman" w:eastAsia="宋体" w:cs="Times New Roman"/>
          <w:kern w:val="0"/>
          <w:szCs w:val="21"/>
        </w:rPr>
        <w:t>号）的规定，本单位为符合条件的残疾人福利性单位，且本单位参加</w:t>
      </w:r>
      <w:r>
        <w:rPr>
          <w:rFonts w:ascii="Times New Roman" w:hAnsi="Times New Roman" w:eastAsia="宋体" w:cs="Times New Roman"/>
          <w:kern w:val="0"/>
          <w:szCs w:val="21"/>
          <w:u w:val="single"/>
        </w:rPr>
        <w:t>（采购单位名称）</w:t>
      </w:r>
      <w:r>
        <w:rPr>
          <w:rFonts w:ascii="Times New Roman" w:hAnsi="Times New Roman" w:eastAsia="宋体" w:cs="Times New Roman"/>
          <w:kern w:val="0"/>
          <w:szCs w:val="21"/>
        </w:rPr>
        <w:t>单位的</w:t>
      </w:r>
      <w:r>
        <w:rPr>
          <w:rFonts w:ascii="Times New Roman" w:hAnsi="Times New Roman" w:eastAsia="宋体" w:cs="Times New Roman"/>
          <w:kern w:val="0"/>
          <w:szCs w:val="21"/>
          <w:u w:val="single"/>
        </w:rPr>
        <w:t>（采购项目名称）</w:t>
      </w:r>
      <w:r>
        <w:rPr>
          <w:rFonts w:ascii="Times New Roman" w:hAnsi="Times New Roman" w:eastAsia="宋体" w:cs="Times New Roman"/>
          <w:kern w:val="0"/>
          <w:szCs w:val="21"/>
        </w:rPr>
        <w:t>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r>
        <w:rPr>
          <w:rFonts w:ascii="Times New Roman" w:hAnsi="Times New Roman" w:eastAsia="宋体" w:cs="Times New Roman"/>
          <w:kern w:val="0"/>
          <w:szCs w:val="21"/>
        </w:rPr>
        <w:t>单位名称（盖章）：</w:t>
      </w:r>
      <w:r>
        <w:rPr>
          <w:rFonts w:ascii="Times New Roman" w:hAnsi="Times New Roman" w:eastAsia="宋体" w:cs="Times New Roman"/>
          <w:kern w:val="0"/>
          <w:szCs w:val="21"/>
          <w:u w:val="single"/>
        </w:rPr>
        <w:t>__________________</w:t>
      </w: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r>
        <w:rPr>
          <w:rFonts w:ascii="Times New Roman" w:hAnsi="Times New Roman" w:eastAsia="宋体" w:cs="Times New Roman"/>
          <w:kern w:val="0"/>
          <w:szCs w:val="21"/>
        </w:rPr>
        <w:t>日期：</w:t>
      </w:r>
      <w:r>
        <w:rPr>
          <w:rFonts w:ascii="Times New Roman" w:hAnsi="Times New Roman" w:eastAsia="宋体" w:cs="Times New Roman"/>
          <w:kern w:val="0"/>
          <w:szCs w:val="21"/>
          <w:u w:val="single"/>
        </w:rPr>
        <w:t>_________________</w:t>
      </w:r>
    </w:p>
    <w:p>
      <w:pPr>
        <w:widowControl/>
        <w:shd w:val="clear" w:color="auto" w:fill="FFFFFF"/>
        <w:tabs>
          <w:tab w:val="left" w:pos="426"/>
        </w:tabs>
        <w:adjustRightInd w:val="0"/>
        <w:snapToGrid w:val="0"/>
        <w:rPr>
          <w:rFonts w:ascii="Times New Roman" w:hAnsi="Times New Roman" w:eastAsia="宋体" w:cs="Times New Roman"/>
          <w:b/>
          <w:kern w:val="0"/>
          <w:sz w:val="32"/>
          <w:szCs w:val="32"/>
        </w:rPr>
      </w:pPr>
      <w:r>
        <w:rPr>
          <w:rFonts w:ascii="Times New Roman" w:hAnsi="Times New Roman" w:eastAsia="宋体" w:cs="Times New Roman"/>
          <w:b/>
          <w:kern w:val="0"/>
          <w:sz w:val="32"/>
          <w:szCs w:val="32"/>
        </w:rPr>
        <w:br w:type="page"/>
      </w:r>
    </w:p>
    <w:p>
      <w:pPr>
        <w:widowControl/>
        <w:shd w:val="clear" w:color="auto" w:fill="FFFFFF"/>
        <w:tabs>
          <w:tab w:val="left" w:pos="426"/>
        </w:tabs>
        <w:adjustRightInd w:val="0"/>
        <w:snapToGrid w:val="0"/>
        <w:ind w:firstLine="643" w:firstLineChars="200"/>
        <w:jc w:val="center"/>
        <w:rPr>
          <w:rFonts w:ascii="Times New Roman" w:hAnsi="Times New Roman" w:eastAsia="宋体" w:cs="Times New Roman"/>
          <w:b/>
          <w:kern w:val="0"/>
          <w:sz w:val="32"/>
          <w:szCs w:val="32"/>
        </w:rPr>
      </w:pPr>
    </w:p>
    <w:p>
      <w:pPr>
        <w:widowControl/>
        <w:shd w:val="clear" w:color="auto" w:fill="FFFFFF"/>
        <w:tabs>
          <w:tab w:val="left" w:pos="426"/>
        </w:tabs>
        <w:adjustRightInd w:val="0"/>
        <w:snapToGrid w:val="0"/>
        <w:ind w:firstLine="643" w:firstLineChars="200"/>
        <w:jc w:val="center"/>
        <w:rPr>
          <w:rFonts w:ascii="Times New Roman" w:hAnsi="Times New Roman" w:eastAsia="宋体" w:cs="Times New Roman"/>
          <w:b/>
          <w:kern w:val="0"/>
          <w:sz w:val="32"/>
          <w:szCs w:val="32"/>
        </w:rPr>
      </w:pPr>
      <w:r>
        <w:rPr>
          <w:rFonts w:ascii="Times New Roman" w:hAnsi="Times New Roman" w:eastAsia="宋体" w:cs="Times New Roman"/>
          <w:b/>
          <w:kern w:val="0"/>
          <w:sz w:val="32"/>
          <w:szCs w:val="32"/>
        </w:rPr>
        <w:t>（三）省级以上监狱管理局、戒毒管理局（含新疆生产建设兵团）出具的属于监狱企业的证明文件（样表）</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本单位已知悉《财政部司法部关于政府采购支持监狱企业发展有关问题的通知》（财库〔2014〕68号）的规定，承诺提供的声明函内容是真实的，如提供声明函内容不实，则依法追究相关法律责任。</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本单位郑重声明，根据《财政部司法部关于政府采购支持监狱企业发展有关问题的通知》（财库〔2014〕68号）的规定，本单位为符合条件的监狱企业，且本单位参加</w:t>
      </w:r>
      <w:r>
        <w:rPr>
          <w:rFonts w:ascii="Times New Roman" w:hAnsi="Times New Roman" w:eastAsia="宋体" w:cs="Times New Roman"/>
          <w:kern w:val="0"/>
          <w:szCs w:val="21"/>
          <w:u w:val="single"/>
        </w:rPr>
        <w:t>（采购单位名称）</w:t>
      </w:r>
      <w:r>
        <w:rPr>
          <w:rFonts w:ascii="Times New Roman" w:hAnsi="Times New Roman" w:eastAsia="宋体" w:cs="Times New Roman"/>
          <w:kern w:val="0"/>
          <w:szCs w:val="21"/>
        </w:rPr>
        <w:t>单位的</w:t>
      </w:r>
      <w:r>
        <w:rPr>
          <w:rFonts w:ascii="Times New Roman" w:hAnsi="Times New Roman" w:eastAsia="宋体" w:cs="Times New Roman"/>
          <w:kern w:val="0"/>
          <w:szCs w:val="21"/>
          <w:u w:val="single"/>
        </w:rPr>
        <w:t>（采购项目名称）</w:t>
      </w:r>
      <w:r>
        <w:rPr>
          <w:rFonts w:ascii="Times New Roman" w:hAnsi="Times New Roman" w:eastAsia="宋体" w:cs="Times New Roman"/>
          <w:kern w:val="0"/>
          <w:szCs w:val="21"/>
        </w:rPr>
        <w:t>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本单位对上述声明的真实性负责。如有虚假，将依法承担相应责任。</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附：省级以上监狱管理局、戒毒管理局（含新疆生产建设兵团）出具的监狱企业证明文件。</w:t>
      </w: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r>
        <w:rPr>
          <w:rFonts w:ascii="Times New Roman" w:hAnsi="Times New Roman" w:eastAsia="宋体" w:cs="Times New Roman"/>
          <w:kern w:val="0"/>
          <w:szCs w:val="21"/>
        </w:rPr>
        <w:t>单位名称（盖章）：</w:t>
      </w:r>
      <w:r>
        <w:rPr>
          <w:rFonts w:ascii="Times New Roman" w:hAnsi="Times New Roman" w:eastAsia="宋体" w:cs="Times New Roman"/>
          <w:kern w:val="0"/>
          <w:szCs w:val="21"/>
          <w:u w:val="single"/>
        </w:rPr>
        <w:t>__________________</w:t>
      </w: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r>
        <w:rPr>
          <w:rFonts w:ascii="Times New Roman" w:hAnsi="Times New Roman" w:eastAsia="宋体" w:cs="Times New Roman"/>
          <w:kern w:val="0"/>
          <w:szCs w:val="21"/>
        </w:rPr>
        <w:t>日期：</w:t>
      </w:r>
      <w:r>
        <w:rPr>
          <w:rFonts w:ascii="Times New Roman" w:hAnsi="Times New Roman" w:eastAsia="宋体" w:cs="Times New Roman"/>
          <w:kern w:val="0"/>
          <w:szCs w:val="21"/>
          <w:u w:val="single"/>
        </w:rPr>
        <w:t>_________________</w:t>
      </w: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jc w:val="right"/>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643" w:firstLineChars="200"/>
        <w:jc w:val="center"/>
        <w:rPr>
          <w:rFonts w:ascii="Times New Roman" w:hAnsi="Times New Roman" w:eastAsia="宋体" w:cs="Times New Roman"/>
          <w:b/>
          <w:kern w:val="0"/>
          <w:sz w:val="32"/>
          <w:szCs w:val="32"/>
        </w:rPr>
      </w:pPr>
      <w:r>
        <w:rPr>
          <w:rFonts w:ascii="Times New Roman" w:hAnsi="Times New Roman" w:eastAsia="宋体" w:cs="Times New Roman"/>
          <w:b/>
          <w:kern w:val="0"/>
          <w:sz w:val="32"/>
          <w:szCs w:val="32"/>
        </w:rPr>
        <w:t>（四）含有小型、微型企业的联合体声明函（样表）</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1.</w:t>
      </w:r>
      <w:r>
        <w:rPr>
          <w:rFonts w:ascii="Times New Roman" w:hAnsi="Times New Roman" w:eastAsia="宋体" w:cs="Times New Roman"/>
          <w:kern w:val="0"/>
          <w:szCs w:val="21"/>
          <w:u w:val="single"/>
        </w:rPr>
        <w:t>（供应商名称、供应商名称）</w:t>
      </w:r>
      <w:r>
        <w:rPr>
          <w:rFonts w:ascii="Times New Roman" w:hAnsi="Times New Roman" w:eastAsia="宋体" w:cs="Times New Roman"/>
          <w:kern w:val="0"/>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eastAsia="宋体" w:cs="Times New Roman"/>
          <w:kern w:val="0"/>
          <w:szCs w:val="21"/>
          <w:u w:val="single"/>
        </w:rPr>
        <w:t>_</w:t>
      </w:r>
      <w:r>
        <w:rPr>
          <w:rFonts w:ascii="Times New Roman" w:hAnsi="Times New Roman" w:eastAsia="宋体" w:cs="Times New Roman"/>
          <w:kern w:val="0"/>
          <w:szCs w:val="21"/>
        </w:rPr>
        <w:t>号）规定的划分标准，本联合体中：□</w:t>
      </w:r>
      <w:r>
        <w:rPr>
          <w:rFonts w:ascii="Times New Roman" w:hAnsi="Times New Roman" w:eastAsia="宋体" w:cs="Times New Roman"/>
          <w:kern w:val="0"/>
          <w:szCs w:val="21"/>
          <w:u w:val="single"/>
        </w:rPr>
        <w:t>______</w:t>
      </w:r>
      <w:r>
        <w:rPr>
          <w:rFonts w:ascii="Times New Roman" w:hAnsi="Times New Roman" w:eastAsia="宋体" w:cs="Times New Roman"/>
          <w:kern w:val="0"/>
          <w:szCs w:val="21"/>
        </w:rPr>
        <w:t>单位为</w:t>
      </w:r>
      <w:r>
        <w:rPr>
          <w:rFonts w:ascii="Times New Roman" w:hAnsi="Times New Roman" w:eastAsia="宋体" w:cs="Times New Roman"/>
          <w:kern w:val="0"/>
          <w:szCs w:val="21"/>
          <w:u w:val="single"/>
        </w:rPr>
        <w:t>______</w:t>
      </w:r>
      <w:r>
        <w:rPr>
          <w:rFonts w:ascii="Times New Roman" w:hAnsi="Times New Roman" w:eastAsia="宋体" w:cs="Times New Roman"/>
          <w:kern w:val="0"/>
          <w:szCs w:val="21"/>
        </w:rPr>
        <w:t>（请填写：中型、小型、微型）企业，</w:t>
      </w:r>
      <w:r>
        <w:rPr>
          <w:rFonts w:ascii="Times New Roman" w:hAnsi="Times New Roman" w:eastAsia="宋体" w:cs="Times New Roman"/>
          <w:kern w:val="0"/>
          <w:szCs w:val="21"/>
          <w:u w:val="single"/>
        </w:rPr>
        <w:t>______</w:t>
      </w:r>
      <w:r>
        <w:rPr>
          <w:rFonts w:ascii="Times New Roman" w:hAnsi="Times New Roman" w:eastAsia="宋体" w:cs="Times New Roman"/>
          <w:kern w:val="0"/>
          <w:szCs w:val="21"/>
        </w:rPr>
        <w:t>单位为</w:t>
      </w:r>
      <w:r>
        <w:rPr>
          <w:rFonts w:ascii="Times New Roman" w:hAnsi="Times New Roman" w:eastAsia="宋体" w:cs="Times New Roman"/>
          <w:kern w:val="0"/>
          <w:szCs w:val="21"/>
          <w:u w:val="single"/>
        </w:rPr>
        <w:t>______</w:t>
      </w:r>
      <w:r>
        <w:rPr>
          <w:rFonts w:ascii="Times New Roman" w:hAnsi="Times New Roman" w:eastAsia="宋体" w:cs="Times New Roman"/>
          <w:kern w:val="0"/>
          <w:szCs w:val="21"/>
        </w:rPr>
        <w:t>（请填写：中型、小型、微型）企业；□联合体各方均为小微企业（承诺人在□处打√）。</w:t>
      </w:r>
    </w:p>
    <w:p>
      <w:pPr>
        <w:widowControl/>
        <w:shd w:val="clear" w:color="auto" w:fill="FFFFFF"/>
        <w:tabs>
          <w:tab w:val="left" w:pos="426"/>
        </w:tabs>
        <w:adjustRightInd w:val="0"/>
        <w:snapToGrid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2.本联合体参加</w:t>
      </w:r>
      <w:r>
        <w:rPr>
          <w:rFonts w:ascii="Times New Roman" w:hAnsi="Times New Roman" w:eastAsia="宋体" w:cs="Times New Roman"/>
          <w:kern w:val="0"/>
          <w:szCs w:val="21"/>
          <w:u w:val="single"/>
        </w:rPr>
        <w:t>_</w:t>
      </w:r>
      <w:r>
        <w:rPr>
          <w:rFonts w:ascii="Times New Roman" w:hAnsi="Times New Roman" w:eastAsia="宋体" w:cs="Times New Roman"/>
          <w:kern w:val="0"/>
          <w:szCs w:val="21"/>
        </w:rPr>
        <w:t>（采购单位名称）</w:t>
      </w:r>
      <w:r>
        <w:rPr>
          <w:rFonts w:ascii="Times New Roman" w:hAnsi="Times New Roman" w:eastAsia="宋体" w:cs="Times New Roman"/>
          <w:kern w:val="0"/>
          <w:szCs w:val="21"/>
          <w:u w:val="single"/>
        </w:rPr>
        <w:t>_</w:t>
      </w:r>
      <w:r>
        <w:rPr>
          <w:rFonts w:ascii="Times New Roman" w:hAnsi="Times New Roman" w:eastAsia="宋体" w:cs="Times New Roman"/>
          <w:kern w:val="0"/>
          <w:szCs w:val="21"/>
        </w:rPr>
        <w:t>单位的</w:t>
      </w:r>
      <w:r>
        <w:rPr>
          <w:rFonts w:ascii="Times New Roman" w:hAnsi="Times New Roman" w:eastAsia="宋体" w:cs="Times New Roman"/>
          <w:kern w:val="0"/>
          <w:szCs w:val="21"/>
          <w:u w:val="single"/>
        </w:rPr>
        <w:t>_</w:t>
      </w:r>
      <w:r>
        <w:rPr>
          <w:rFonts w:ascii="Times New Roman" w:hAnsi="Times New Roman" w:eastAsia="宋体" w:cs="Times New Roman"/>
          <w:kern w:val="0"/>
          <w:szCs w:val="21"/>
        </w:rPr>
        <w:t>（采购项目名称）</w:t>
      </w:r>
      <w:r>
        <w:rPr>
          <w:rFonts w:ascii="Times New Roman" w:hAnsi="Times New Roman" w:eastAsia="宋体" w:cs="Times New Roman"/>
          <w:kern w:val="0"/>
          <w:szCs w:val="21"/>
          <w:u w:val="single"/>
        </w:rPr>
        <w:t>_</w:t>
      </w:r>
      <w:r>
        <w:rPr>
          <w:rFonts w:ascii="Times New Roman" w:hAnsi="Times New Roman" w:eastAsia="宋体" w:cs="Times New Roman"/>
          <w:kern w:val="0"/>
          <w:szCs w:val="21"/>
        </w:rPr>
        <w:t>项目采购活动，其中，小型、微型企业协议合同金额占到联合体协议总金额比例为</w:t>
      </w:r>
      <w:r>
        <w:rPr>
          <w:rFonts w:ascii="Times New Roman" w:hAnsi="Times New Roman" w:eastAsia="宋体" w:cs="Times New Roman"/>
          <w:kern w:val="0"/>
          <w:szCs w:val="21"/>
          <w:u w:val="single"/>
        </w:rPr>
        <w:t>_____</w:t>
      </w:r>
      <w:r>
        <w:rPr>
          <w:rFonts w:ascii="Times New Roman" w:hAnsi="Times New Roman" w:eastAsia="宋体" w:cs="Times New Roman"/>
          <w:kern w:val="0"/>
          <w:szCs w:val="21"/>
        </w:rPr>
        <w:t>%（该合同金额为：□小微企业制造的货物，□小微企业承担的工程、提供服务，□提供其他小微企业制造的货物；不包括使用大型企业注册商标的货物；请承诺人在□处打√），符合《政府采购促进中小企业发展暂行办法》(财库〔2011〕181</w:t>
      </w:r>
      <w:r>
        <w:rPr>
          <w:rFonts w:ascii="Times New Roman" w:hAnsi="Times New Roman" w:eastAsia="宋体" w:cs="Times New Roman"/>
          <w:kern w:val="0"/>
          <w:szCs w:val="21"/>
          <w:u w:val="single"/>
        </w:rPr>
        <w:t>_</w:t>
      </w:r>
      <w:r>
        <w:rPr>
          <w:rFonts w:ascii="Times New Roman" w:hAnsi="Times New Roman" w:eastAsia="宋体" w:cs="Times New Roman"/>
          <w:kern w:val="0"/>
          <w:szCs w:val="21"/>
        </w:rPr>
        <w:t>号)第六条规定的优惠政策。本联合体对上述声明的真实性负责。如有虚假，将依法承担相应责任。</w:t>
      </w:r>
    </w:p>
    <w:p>
      <w:pPr>
        <w:widowControl/>
        <w:shd w:val="clear" w:color="auto" w:fill="FFFFFF"/>
        <w:tabs>
          <w:tab w:val="left" w:pos="426"/>
        </w:tabs>
        <w:adjustRightInd w:val="0"/>
        <w:snapToGrid w:val="0"/>
        <w:ind w:left="424" w:leftChars="202"/>
        <w:jc w:val="left"/>
        <w:rPr>
          <w:rFonts w:ascii="Times New Roman" w:hAnsi="Times New Roman" w:eastAsia="宋体" w:cs="Times New Roman"/>
          <w:kern w:val="0"/>
          <w:szCs w:val="21"/>
        </w:rPr>
      </w:pPr>
      <w:r>
        <w:rPr>
          <w:rFonts w:ascii="Times New Roman" w:hAnsi="Times New Roman" w:eastAsia="宋体" w:cs="Times New Roman"/>
          <w:kern w:val="0"/>
          <w:szCs w:val="21"/>
        </w:rPr>
        <w:t>企业1名称（盖章）：</w:t>
      </w:r>
      <w:r>
        <w:rPr>
          <w:rFonts w:ascii="Times New Roman" w:hAnsi="Times New Roman" w:eastAsia="宋体" w:cs="Times New Roman"/>
          <w:kern w:val="0"/>
          <w:szCs w:val="21"/>
          <w:u w:val="single"/>
        </w:rPr>
        <w:t>_______________________</w:t>
      </w:r>
      <w:r>
        <w:rPr>
          <w:rFonts w:ascii="Times New Roman" w:hAnsi="Times New Roman" w:eastAsia="宋体" w:cs="Times New Roman"/>
          <w:kern w:val="0"/>
          <w:szCs w:val="21"/>
        </w:rPr>
        <w:t xml:space="preserve"> </w:t>
      </w:r>
    </w:p>
    <w:p>
      <w:pPr>
        <w:widowControl/>
        <w:shd w:val="clear" w:color="auto" w:fill="FFFFFF"/>
        <w:tabs>
          <w:tab w:val="left" w:pos="426"/>
        </w:tabs>
        <w:adjustRightInd w:val="0"/>
        <w:snapToGrid w:val="0"/>
        <w:ind w:left="424" w:leftChars="202"/>
        <w:jc w:val="left"/>
        <w:rPr>
          <w:rFonts w:ascii="Times New Roman" w:hAnsi="Times New Roman" w:eastAsia="宋体" w:cs="Times New Roman"/>
          <w:kern w:val="0"/>
          <w:szCs w:val="21"/>
        </w:rPr>
      </w:pPr>
      <w:r>
        <w:rPr>
          <w:rFonts w:ascii="Times New Roman" w:hAnsi="Times New Roman" w:eastAsia="宋体" w:cs="Times New Roman"/>
          <w:kern w:val="0"/>
          <w:szCs w:val="21"/>
        </w:rPr>
        <w:t>日期：</w:t>
      </w:r>
      <w:r>
        <w:rPr>
          <w:rFonts w:ascii="Times New Roman" w:hAnsi="Times New Roman" w:eastAsia="宋体" w:cs="Times New Roman"/>
          <w:kern w:val="0"/>
          <w:szCs w:val="21"/>
          <w:u w:val="single"/>
        </w:rPr>
        <w:t>_____________________________________</w:t>
      </w:r>
      <w:r>
        <w:rPr>
          <w:rFonts w:ascii="Times New Roman" w:hAnsi="Times New Roman" w:eastAsia="宋体" w:cs="Times New Roman"/>
          <w:kern w:val="0"/>
          <w:szCs w:val="21"/>
        </w:rPr>
        <w:t xml:space="preserve"> </w:t>
      </w:r>
    </w:p>
    <w:p>
      <w:pPr>
        <w:widowControl/>
        <w:shd w:val="clear" w:color="auto" w:fill="FFFFFF"/>
        <w:tabs>
          <w:tab w:val="left" w:pos="426"/>
        </w:tabs>
        <w:adjustRightInd w:val="0"/>
        <w:snapToGrid w:val="0"/>
        <w:ind w:left="424" w:leftChars="202"/>
        <w:jc w:val="left"/>
        <w:rPr>
          <w:rFonts w:ascii="Times New Roman" w:hAnsi="Times New Roman" w:eastAsia="宋体" w:cs="Times New Roman"/>
          <w:kern w:val="0"/>
          <w:szCs w:val="21"/>
        </w:rPr>
      </w:pPr>
      <w:r>
        <w:rPr>
          <w:rFonts w:ascii="Times New Roman" w:hAnsi="Times New Roman" w:eastAsia="宋体" w:cs="Times New Roman"/>
          <w:kern w:val="0"/>
          <w:szCs w:val="21"/>
        </w:rPr>
        <w:t>企业2名称（盖章）：</w:t>
      </w:r>
      <w:r>
        <w:rPr>
          <w:rFonts w:ascii="Times New Roman" w:hAnsi="Times New Roman" w:eastAsia="宋体" w:cs="Times New Roman"/>
          <w:kern w:val="0"/>
          <w:szCs w:val="21"/>
          <w:u w:val="single"/>
        </w:rPr>
        <w:t>_______________________</w:t>
      </w:r>
    </w:p>
    <w:p>
      <w:pPr>
        <w:widowControl/>
        <w:shd w:val="clear" w:color="auto" w:fill="FFFFFF"/>
        <w:adjustRightInd w:val="0"/>
        <w:snapToGrid w:val="0"/>
        <w:ind w:left="424" w:leftChars="202"/>
        <w:rPr>
          <w:rFonts w:ascii="Times New Roman" w:hAnsi="Times New Roman" w:eastAsia="宋体" w:cs="Times New Roman"/>
          <w:kern w:val="0"/>
          <w:szCs w:val="21"/>
        </w:rPr>
      </w:pPr>
      <w:r>
        <w:rPr>
          <w:rFonts w:ascii="Times New Roman" w:hAnsi="Times New Roman" w:eastAsia="宋体" w:cs="Times New Roman"/>
          <w:kern w:val="0"/>
          <w:szCs w:val="21"/>
        </w:rPr>
        <w:t>日期：</w:t>
      </w:r>
      <w:r>
        <w:rPr>
          <w:rFonts w:ascii="Times New Roman" w:hAnsi="Times New Roman" w:eastAsia="宋体" w:cs="Times New Roman"/>
          <w:kern w:val="0"/>
          <w:szCs w:val="21"/>
          <w:u w:val="single"/>
        </w:rPr>
        <w:t>_____________________________________</w:t>
      </w:r>
    </w:p>
    <w:p>
      <w:pPr>
        <w:widowControl/>
        <w:shd w:val="clear" w:color="auto" w:fill="FFFFFF"/>
        <w:adjustRightInd w:val="0"/>
        <w:snapToGrid w:val="0"/>
        <w:ind w:left="424" w:leftChars="202"/>
        <w:rPr>
          <w:rFonts w:ascii="Times New Roman" w:hAnsi="Times New Roman" w:eastAsia="宋体" w:cs="Times New Roman"/>
          <w:bCs/>
          <w:kern w:val="0"/>
          <w:szCs w:val="21"/>
        </w:rPr>
      </w:pPr>
      <w:r>
        <w:rPr>
          <w:rFonts w:ascii="Times New Roman" w:hAnsi="Times New Roman" w:eastAsia="宋体" w:cs="Times New Roman"/>
          <w:bCs/>
          <w:kern w:val="0"/>
          <w:szCs w:val="21"/>
        </w:rPr>
        <w:t>……</w:t>
      </w:r>
    </w:p>
    <w:p>
      <w:pPr>
        <w:widowControl/>
        <w:shd w:val="clear" w:color="auto" w:fill="FFFFFF"/>
        <w:adjustRightInd w:val="0"/>
        <w:snapToGrid w:val="0"/>
        <w:ind w:left="424" w:leftChars="202"/>
        <w:rPr>
          <w:rFonts w:ascii="Times New Roman" w:hAnsi="Times New Roman" w:eastAsia="宋体" w:cs="Times New Roman"/>
          <w:bCs/>
          <w:kern w:val="0"/>
          <w:szCs w:val="21"/>
        </w:rPr>
      </w:pPr>
    </w:p>
    <w:p>
      <w:pPr>
        <w:widowControl/>
        <w:shd w:val="clear" w:color="auto" w:fill="FFFFFF"/>
        <w:adjustRightInd w:val="0"/>
        <w:snapToGrid w:val="0"/>
        <w:ind w:left="424" w:leftChars="202"/>
        <w:rPr>
          <w:rFonts w:ascii="Times New Roman" w:hAnsi="Times New Roman" w:eastAsia="宋体" w:cs="Times New Roman"/>
          <w:bCs/>
          <w:kern w:val="0"/>
          <w:szCs w:val="21"/>
        </w:rPr>
      </w:pPr>
    </w:p>
    <w:p>
      <w:pPr>
        <w:pStyle w:val="33"/>
      </w:pPr>
    </w:p>
    <w:p>
      <w:pPr>
        <w:widowControl/>
        <w:ind w:firstLine="422"/>
        <w:jc w:val="left"/>
        <w:rPr>
          <w:rFonts w:ascii="宋体" w:hAnsi="Times New Roman" w:eastAsia="宋体" w:cs="宋体"/>
          <w:b/>
          <w:kern w:val="0"/>
          <w:szCs w:val="24"/>
        </w:rPr>
      </w:pPr>
      <w:r>
        <w:rPr>
          <w:rFonts w:ascii="宋体" w:hAnsi="Times New Roman" w:eastAsia="宋体" w:cs="宋体"/>
          <w:b/>
          <w:kern w:val="0"/>
          <w:szCs w:val="24"/>
        </w:rPr>
        <w:br w:type="page"/>
      </w:r>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bookmarkStart w:id="122" w:name="_Toc11165666"/>
      <w:bookmarkStart w:id="123" w:name="_Toc4943774"/>
      <w:bookmarkStart w:id="124" w:name="_Toc14427251"/>
      <w:bookmarkStart w:id="125" w:name="_Toc36822692"/>
      <w:bookmarkStart w:id="126" w:name="_Toc275865611"/>
      <w:bookmarkStart w:id="127" w:name="_Toc480789480"/>
      <w:bookmarkStart w:id="128" w:name="_Toc192662843"/>
      <w:bookmarkStart w:id="129" w:name="_Toc480756076"/>
      <w:bookmarkStart w:id="130" w:name="_Toc480754209"/>
      <w:bookmarkStart w:id="131" w:name="_Toc480755930"/>
      <w:r>
        <w:rPr>
          <w:rFonts w:hint="eastAsia" w:ascii="Arial" w:hAnsi="Arial" w:eastAsia="黑体" w:cs="Times New Roman"/>
          <w:b/>
          <w:bCs/>
          <w:sz w:val="28"/>
          <w:szCs w:val="28"/>
        </w:rPr>
        <w:t>、实质性响应条款偏离表</w:t>
      </w:r>
      <w:bookmarkEnd w:id="122"/>
      <w:bookmarkEnd w:id="123"/>
      <w:bookmarkEnd w:id="124"/>
      <w:bookmarkEnd w:id="125"/>
    </w:p>
    <w:p>
      <w:pPr>
        <w:spacing w:line="300" w:lineRule="auto"/>
        <w:ind w:firstLine="640"/>
        <w:jc w:val="center"/>
        <w:rPr>
          <w:rFonts w:ascii="宋体" w:hAnsi="Times New Roman" w:eastAsia="宋体" w:cs="Times New Roman"/>
          <w:bCs/>
          <w:sz w:val="32"/>
          <w:szCs w:val="32"/>
        </w:rPr>
      </w:pPr>
      <w:r>
        <w:rPr>
          <w:rFonts w:hint="eastAsia" w:ascii="宋体" w:hAnsi="Times New Roman" w:eastAsia="宋体" w:cs="Times New Roman"/>
          <w:bCs/>
          <w:sz w:val="32"/>
          <w:szCs w:val="32"/>
        </w:rPr>
        <w:t>实质性响应条款偏离表</w:t>
      </w:r>
    </w:p>
    <w:p>
      <w:pPr>
        <w:widowControl/>
        <w:shd w:val="clear" w:color="auto" w:fill="FFFFFF"/>
        <w:adjustRightInd w:val="0"/>
        <w:snapToGrid w:val="0"/>
        <w:spacing w:line="360" w:lineRule="auto"/>
        <w:jc w:val="left"/>
        <w:rPr>
          <w:rFonts w:ascii="宋体" w:hAnsi="Times New Roman" w:eastAsia="宋体" w:cs="宋体"/>
          <w:kern w:val="0"/>
          <w:szCs w:val="24"/>
        </w:rPr>
      </w:pPr>
    </w:p>
    <w:p>
      <w:pPr>
        <w:widowControl/>
        <w:shd w:val="clear" w:color="auto" w:fill="FFFFFF"/>
        <w:adjustRightInd w:val="0"/>
        <w:snapToGrid w:val="0"/>
        <w:spacing w:line="360" w:lineRule="auto"/>
        <w:jc w:val="left"/>
        <w:rPr>
          <w:rFonts w:ascii="宋体" w:hAnsi="Times New Roman" w:eastAsia="宋体" w:cs="宋体"/>
          <w:kern w:val="0"/>
          <w:szCs w:val="21"/>
          <w:u w:val="single"/>
        </w:rPr>
      </w:pPr>
      <w:r>
        <w:rPr>
          <w:rFonts w:hint="eastAsia" w:ascii="宋体" w:hAnsi="Times New Roman" w:eastAsia="宋体" w:cs="宋体"/>
          <w:kern w:val="0"/>
          <w:szCs w:val="24"/>
        </w:rPr>
        <w:t>项目名称：</w:t>
      </w:r>
      <w:r>
        <w:rPr>
          <w:rFonts w:hint="eastAsia" w:ascii="宋体" w:hAnsi="Times New Roman" w:eastAsia="宋体" w:cs="宋体"/>
          <w:kern w:val="0"/>
          <w:szCs w:val="21"/>
          <w:u w:val="single"/>
        </w:rPr>
        <w:t>______________________</w:t>
      </w:r>
      <w:r>
        <w:rPr>
          <w:rFonts w:hint="eastAsia" w:ascii="宋体" w:hAnsi="Times New Roman" w:eastAsia="宋体" w:cs="宋体"/>
          <w:kern w:val="0"/>
          <w:szCs w:val="24"/>
        </w:rPr>
        <w:t>项目编号：</w:t>
      </w:r>
      <w:r>
        <w:rPr>
          <w:rFonts w:hint="eastAsia" w:ascii="宋体" w:hAnsi="Times New Roman" w:eastAsia="宋体" w:cs="宋体"/>
          <w:kern w:val="0"/>
          <w:szCs w:val="21"/>
          <w:u w:val="single"/>
        </w:rPr>
        <w:t>______________________</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473"/>
        <w:gridCol w:w="3632"/>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序号</w:t>
            </w:r>
          </w:p>
        </w:tc>
        <w:tc>
          <w:tcPr>
            <w:tcW w:w="2336"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采购人要求内容</w:t>
            </w:r>
          </w:p>
        </w:tc>
        <w:tc>
          <w:tcPr>
            <w:tcW w:w="1897"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供应商响应情况</w:t>
            </w:r>
          </w:p>
        </w:tc>
        <w:tc>
          <w:tcPr>
            <w:tcW w:w="542"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1</w:t>
            </w:r>
          </w:p>
        </w:tc>
        <w:tc>
          <w:tcPr>
            <w:tcW w:w="2336" w:type="pct"/>
            <w:vAlign w:val="center"/>
          </w:tcPr>
          <w:p>
            <w:pPr>
              <w:adjustRightInd w:val="0"/>
              <w:snapToGrid w:val="0"/>
              <w:rPr>
                <w:rFonts w:ascii="Times New Roman" w:hAnsi="Times New Roman" w:eastAsia="宋体" w:cs="Times New Roman"/>
                <w:kern w:val="0"/>
                <w:szCs w:val="21"/>
              </w:rPr>
            </w:pPr>
          </w:p>
        </w:tc>
        <w:tc>
          <w:tcPr>
            <w:tcW w:w="1897" w:type="pct"/>
            <w:vAlign w:val="center"/>
          </w:tcPr>
          <w:p>
            <w:pPr>
              <w:adjustRightInd w:val="0"/>
              <w:snapToGrid w:val="0"/>
              <w:jc w:val="left"/>
              <w:rPr>
                <w:rFonts w:ascii="宋体" w:hAnsi="宋体" w:eastAsia="宋体" w:cs="Times New Roman"/>
                <w:kern w:val="0"/>
                <w:szCs w:val="21"/>
              </w:rPr>
            </w:pPr>
          </w:p>
        </w:tc>
        <w:tc>
          <w:tcPr>
            <w:tcW w:w="542"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3"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2</w:t>
            </w:r>
          </w:p>
        </w:tc>
        <w:tc>
          <w:tcPr>
            <w:tcW w:w="2336" w:type="pct"/>
            <w:vAlign w:val="center"/>
          </w:tcPr>
          <w:p>
            <w:pPr>
              <w:adjustRightInd w:val="0"/>
              <w:snapToGrid w:val="0"/>
              <w:rPr>
                <w:rFonts w:ascii="宋体" w:hAnsi="Times New Roman" w:eastAsia="宋体" w:cs="宋体"/>
                <w:kern w:val="0"/>
                <w:szCs w:val="21"/>
              </w:rPr>
            </w:pPr>
          </w:p>
        </w:tc>
        <w:tc>
          <w:tcPr>
            <w:tcW w:w="1897" w:type="pct"/>
            <w:vAlign w:val="center"/>
          </w:tcPr>
          <w:p>
            <w:pPr>
              <w:adjustRightInd w:val="0"/>
              <w:snapToGrid w:val="0"/>
              <w:jc w:val="left"/>
              <w:rPr>
                <w:rFonts w:ascii="宋体" w:hAnsi="宋体" w:eastAsia="宋体" w:cs="Times New Roman"/>
                <w:kern w:val="0"/>
                <w:szCs w:val="21"/>
              </w:rPr>
            </w:pPr>
          </w:p>
        </w:tc>
        <w:tc>
          <w:tcPr>
            <w:tcW w:w="542" w:type="pct"/>
            <w:vAlign w:val="center"/>
          </w:tcPr>
          <w:p>
            <w:pPr>
              <w:widowControl/>
              <w:shd w:val="clear" w:color="auto" w:fill="FFFFFF"/>
              <w:tabs>
                <w:tab w:val="left" w:pos="426"/>
              </w:tabs>
              <w:adjustRightInd w:val="0"/>
              <w:snapToGrid w:val="0"/>
              <w:jc w:val="center"/>
              <w:rPr>
                <w:rFonts w:ascii="宋体" w:hAnsi="宋体" w:eastAsia="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3"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3</w:t>
            </w:r>
          </w:p>
        </w:tc>
        <w:tc>
          <w:tcPr>
            <w:tcW w:w="2336" w:type="pct"/>
            <w:vAlign w:val="center"/>
          </w:tcPr>
          <w:p>
            <w:pPr>
              <w:adjustRightInd w:val="0"/>
              <w:snapToGrid w:val="0"/>
              <w:rPr>
                <w:rFonts w:ascii="宋体" w:hAnsi="Times New Roman" w:eastAsia="宋体" w:cs="宋体"/>
                <w:kern w:val="0"/>
                <w:szCs w:val="21"/>
              </w:rPr>
            </w:pPr>
          </w:p>
        </w:tc>
        <w:tc>
          <w:tcPr>
            <w:tcW w:w="1897" w:type="pct"/>
            <w:vAlign w:val="center"/>
          </w:tcPr>
          <w:p>
            <w:pPr>
              <w:adjustRightInd w:val="0"/>
              <w:snapToGrid w:val="0"/>
              <w:jc w:val="left"/>
              <w:rPr>
                <w:rFonts w:ascii="宋体" w:hAnsi="宋体" w:eastAsia="宋体" w:cs="Times New Roman"/>
                <w:kern w:val="0"/>
                <w:szCs w:val="21"/>
              </w:rPr>
            </w:pPr>
          </w:p>
        </w:tc>
        <w:tc>
          <w:tcPr>
            <w:tcW w:w="542" w:type="pct"/>
            <w:vAlign w:val="center"/>
          </w:tcPr>
          <w:p>
            <w:pPr>
              <w:widowControl/>
              <w:shd w:val="clear" w:color="auto" w:fill="FFFFFF"/>
              <w:tabs>
                <w:tab w:val="left" w:pos="426"/>
              </w:tabs>
              <w:adjustRightInd w:val="0"/>
              <w:snapToGrid w:val="0"/>
              <w:jc w:val="center"/>
              <w:rPr>
                <w:rFonts w:ascii="宋体" w:hAnsi="宋体" w:eastAsia="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3"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4</w:t>
            </w:r>
          </w:p>
        </w:tc>
        <w:tc>
          <w:tcPr>
            <w:tcW w:w="2336" w:type="pct"/>
            <w:vAlign w:val="center"/>
          </w:tcPr>
          <w:p>
            <w:pPr>
              <w:adjustRightInd w:val="0"/>
              <w:snapToGrid w:val="0"/>
              <w:rPr>
                <w:rFonts w:ascii="宋体" w:hAnsi="Times New Roman" w:eastAsia="宋体" w:cs="宋体"/>
                <w:kern w:val="0"/>
                <w:szCs w:val="21"/>
              </w:rPr>
            </w:pPr>
          </w:p>
        </w:tc>
        <w:tc>
          <w:tcPr>
            <w:tcW w:w="1897" w:type="pct"/>
            <w:vAlign w:val="center"/>
          </w:tcPr>
          <w:p>
            <w:pPr>
              <w:adjustRightInd w:val="0"/>
              <w:snapToGrid w:val="0"/>
              <w:jc w:val="left"/>
              <w:rPr>
                <w:rFonts w:ascii="宋体" w:hAnsi="宋体" w:eastAsia="宋体" w:cs="Times New Roman"/>
                <w:kern w:val="0"/>
                <w:szCs w:val="21"/>
              </w:rPr>
            </w:pPr>
          </w:p>
        </w:tc>
        <w:tc>
          <w:tcPr>
            <w:tcW w:w="542" w:type="pct"/>
            <w:vAlign w:val="center"/>
          </w:tcPr>
          <w:p>
            <w:pPr>
              <w:widowControl/>
              <w:shd w:val="clear" w:color="auto" w:fill="FFFFFF"/>
              <w:tabs>
                <w:tab w:val="left" w:pos="426"/>
              </w:tabs>
              <w:adjustRightInd w:val="0"/>
              <w:snapToGrid w:val="0"/>
              <w:jc w:val="center"/>
              <w:rPr>
                <w:rFonts w:ascii="宋体" w:hAnsi="宋体" w:eastAsia="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3"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5</w:t>
            </w:r>
          </w:p>
        </w:tc>
        <w:tc>
          <w:tcPr>
            <w:tcW w:w="2336" w:type="pct"/>
            <w:vAlign w:val="center"/>
          </w:tcPr>
          <w:p>
            <w:pPr>
              <w:adjustRightInd w:val="0"/>
              <w:snapToGrid w:val="0"/>
              <w:rPr>
                <w:rFonts w:ascii="宋体" w:hAnsi="Times New Roman" w:eastAsia="宋体" w:cs="宋体"/>
                <w:kern w:val="0"/>
                <w:szCs w:val="21"/>
              </w:rPr>
            </w:pPr>
          </w:p>
        </w:tc>
        <w:tc>
          <w:tcPr>
            <w:tcW w:w="1897" w:type="pct"/>
            <w:vAlign w:val="center"/>
          </w:tcPr>
          <w:p>
            <w:pPr>
              <w:adjustRightInd w:val="0"/>
              <w:snapToGrid w:val="0"/>
              <w:jc w:val="left"/>
              <w:rPr>
                <w:rFonts w:ascii="宋体" w:hAnsi="宋体" w:eastAsia="宋体" w:cs="Times New Roman"/>
                <w:kern w:val="0"/>
                <w:szCs w:val="21"/>
              </w:rPr>
            </w:pPr>
          </w:p>
        </w:tc>
        <w:tc>
          <w:tcPr>
            <w:tcW w:w="542" w:type="pct"/>
            <w:vAlign w:val="center"/>
          </w:tcPr>
          <w:p>
            <w:pPr>
              <w:widowControl/>
              <w:shd w:val="clear" w:color="auto" w:fill="FFFFFF"/>
              <w:tabs>
                <w:tab w:val="left" w:pos="426"/>
              </w:tabs>
              <w:adjustRightInd w:val="0"/>
              <w:snapToGrid w:val="0"/>
              <w:jc w:val="center"/>
              <w:rPr>
                <w:rFonts w:ascii="宋体" w:hAnsi="宋体" w:eastAsia="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3"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2336" w:type="pct"/>
            <w:vAlign w:val="center"/>
          </w:tcPr>
          <w:p>
            <w:pPr>
              <w:adjustRightInd w:val="0"/>
              <w:snapToGrid w:val="0"/>
              <w:rPr>
                <w:rFonts w:ascii="宋体" w:hAnsi="Times New Roman" w:eastAsia="宋体" w:cs="宋体"/>
                <w:kern w:val="0"/>
                <w:szCs w:val="21"/>
              </w:rPr>
            </w:pPr>
          </w:p>
        </w:tc>
        <w:tc>
          <w:tcPr>
            <w:tcW w:w="1897" w:type="pct"/>
            <w:vAlign w:val="center"/>
          </w:tcPr>
          <w:p>
            <w:pPr>
              <w:adjustRightInd w:val="0"/>
              <w:snapToGrid w:val="0"/>
              <w:jc w:val="left"/>
              <w:rPr>
                <w:rFonts w:ascii="宋体" w:hAnsi="宋体" w:eastAsia="宋体" w:cs="Times New Roman"/>
                <w:kern w:val="0"/>
                <w:szCs w:val="21"/>
              </w:rPr>
            </w:pPr>
          </w:p>
        </w:tc>
        <w:tc>
          <w:tcPr>
            <w:tcW w:w="542" w:type="pct"/>
            <w:vAlign w:val="center"/>
          </w:tcPr>
          <w:p>
            <w:pPr>
              <w:widowControl/>
              <w:shd w:val="clear" w:color="auto" w:fill="FFFFFF"/>
              <w:tabs>
                <w:tab w:val="left" w:pos="426"/>
              </w:tabs>
              <w:adjustRightInd w:val="0"/>
              <w:snapToGrid w:val="0"/>
              <w:jc w:val="center"/>
              <w:rPr>
                <w:rFonts w:ascii="宋体" w:hAnsi="宋体" w:eastAsia="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3" w:type="pct"/>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宋体"/>
                <w:kern w:val="0"/>
                <w:szCs w:val="21"/>
              </w:rPr>
              <w:t>7</w:t>
            </w:r>
          </w:p>
        </w:tc>
        <w:tc>
          <w:tcPr>
            <w:tcW w:w="2336" w:type="pct"/>
            <w:vAlign w:val="center"/>
          </w:tcPr>
          <w:p>
            <w:pPr>
              <w:adjustRightInd w:val="0"/>
              <w:snapToGrid w:val="0"/>
              <w:rPr>
                <w:rFonts w:ascii="宋体" w:hAnsi="Times New Roman" w:eastAsia="宋体" w:cs="宋体"/>
                <w:kern w:val="0"/>
                <w:szCs w:val="21"/>
              </w:rPr>
            </w:pPr>
          </w:p>
        </w:tc>
        <w:tc>
          <w:tcPr>
            <w:tcW w:w="1897" w:type="pct"/>
            <w:vAlign w:val="center"/>
          </w:tcPr>
          <w:p>
            <w:pPr>
              <w:adjustRightInd w:val="0"/>
              <w:snapToGrid w:val="0"/>
              <w:jc w:val="left"/>
              <w:rPr>
                <w:rFonts w:ascii="宋体" w:hAnsi="宋体" w:eastAsia="宋体" w:cs="Times New Roman"/>
                <w:kern w:val="0"/>
                <w:szCs w:val="21"/>
              </w:rPr>
            </w:pPr>
          </w:p>
        </w:tc>
        <w:tc>
          <w:tcPr>
            <w:tcW w:w="542" w:type="pct"/>
            <w:vAlign w:val="center"/>
          </w:tcPr>
          <w:p>
            <w:pPr>
              <w:widowControl/>
              <w:shd w:val="clear" w:color="auto" w:fill="FFFFFF"/>
              <w:tabs>
                <w:tab w:val="left" w:pos="426"/>
              </w:tabs>
              <w:adjustRightInd w:val="0"/>
              <w:snapToGrid w:val="0"/>
              <w:jc w:val="center"/>
              <w:rPr>
                <w:rFonts w:ascii="宋体" w:hAnsi="宋体" w:eastAsia="宋体" w:cs="宋体"/>
                <w:b/>
                <w:kern w:val="0"/>
                <w:szCs w:val="21"/>
              </w:rPr>
            </w:pPr>
          </w:p>
        </w:tc>
      </w:tr>
    </w:tbl>
    <w:p>
      <w:pPr>
        <w:widowControl/>
        <w:shd w:val="clear" w:color="auto" w:fill="FFFFFF"/>
        <w:adjustRightInd w:val="0"/>
        <w:snapToGrid w:val="0"/>
        <w:spacing w:line="400" w:lineRule="exact"/>
        <w:ind w:left="539" w:leftChars="200" w:hanging="119" w:hangingChars="57"/>
        <w:rPr>
          <w:rFonts w:ascii="宋体" w:hAnsi="Times New Roman" w:eastAsia="宋体" w:cs="宋体"/>
          <w:kern w:val="0"/>
          <w:szCs w:val="24"/>
        </w:rPr>
      </w:pPr>
    </w:p>
    <w:p>
      <w:pPr>
        <w:widowControl/>
        <w:shd w:val="clear" w:color="auto" w:fill="FFFFFF"/>
        <w:tabs>
          <w:tab w:val="left" w:pos="426"/>
        </w:tabs>
        <w:adjustRightInd w:val="0"/>
        <w:snapToGrid w:val="0"/>
        <w:spacing w:line="360" w:lineRule="auto"/>
        <w:jc w:val="left"/>
        <w:rPr>
          <w:rFonts w:ascii="Times New Roman" w:hAnsi="Times New Roman" w:eastAsia="宋体" w:cs="Times New Roman"/>
          <w:szCs w:val="24"/>
        </w:rPr>
      </w:pPr>
      <w:r>
        <w:rPr>
          <w:rFonts w:hint="eastAsia" w:ascii="Times New Roman" w:hAnsi="Times New Roman" w:eastAsia="宋体" w:cs="Times New Roman"/>
          <w:szCs w:val="24"/>
        </w:rPr>
        <w:t>注：1.上表所列内容为不可负偏离条款（内容详见招标文件“第一册 专用条款-第三章 项目需求-二、实质性响应条款”），如投标供应商该部分内容出现负偏离或未对该部分内容进行响应，将按照符合性检查表作无效标处理；</w:t>
      </w:r>
    </w:p>
    <w:p>
      <w:pPr>
        <w:widowControl/>
        <w:shd w:val="clear" w:color="auto" w:fill="FFFFFF"/>
        <w:tabs>
          <w:tab w:val="left" w:pos="426"/>
        </w:tabs>
        <w:adjustRightInd w:val="0"/>
        <w:snapToGrid w:val="0"/>
        <w:spacing w:line="360" w:lineRule="auto"/>
        <w:ind w:firstLine="420" w:firstLineChars="200"/>
        <w:jc w:val="left"/>
        <w:rPr>
          <w:rFonts w:ascii="宋体" w:hAnsi="Times New Roman" w:eastAsia="宋体" w:cs="宋体"/>
          <w:bCs/>
          <w:kern w:val="0"/>
          <w:szCs w:val="24"/>
        </w:rPr>
      </w:pPr>
      <w:r>
        <w:rPr>
          <w:rFonts w:hint="eastAsia" w:ascii="宋体" w:hAnsi="Times New Roman" w:eastAsia="宋体" w:cs="宋体"/>
          <w:bCs/>
          <w:kern w:val="0"/>
          <w:szCs w:val="24"/>
        </w:rPr>
        <w:t>2.“偏离情况”一栏应如实填写“正偏离”、“负偏离”或“无偏离”。</w:t>
      </w:r>
    </w:p>
    <w:p>
      <w:pPr>
        <w:widowControl/>
        <w:shd w:val="clear" w:color="auto" w:fill="FFFFFF"/>
        <w:tabs>
          <w:tab w:val="left" w:pos="426"/>
        </w:tabs>
        <w:adjustRightInd w:val="0"/>
        <w:snapToGrid w:val="0"/>
        <w:spacing w:line="360" w:lineRule="auto"/>
        <w:ind w:firstLine="422" w:firstLineChars="200"/>
        <w:jc w:val="left"/>
        <w:rPr>
          <w:rFonts w:ascii="宋体" w:hAnsi="Times New Roman" w:eastAsia="宋体" w:cs="宋体"/>
          <w:b/>
          <w:kern w:val="0"/>
          <w:szCs w:val="24"/>
        </w:rPr>
      </w:pPr>
      <w:r>
        <w:rPr>
          <w:rFonts w:hint="eastAsia" w:ascii="宋体" w:hAnsi="Times New Roman" w:eastAsia="宋体" w:cs="宋体"/>
          <w:b/>
          <w:kern w:val="0"/>
          <w:szCs w:val="24"/>
        </w:rPr>
        <w:t>3.要求提供相关证明文件但未提供的做无效</w:t>
      </w:r>
      <w:r>
        <w:rPr>
          <w:rFonts w:hint="eastAsia" w:ascii="Times New Roman" w:hAnsi="Times New Roman" w:eastAsia="宋体" w:cs="Times New Roman"/>
          <w:b/>
          <w:szCs w:val="24"/>
        </w:rPr>
        <w:t>标</w:t>
      </w:r>
      <w:r>
        <w:rPr>
          <w:rFonts w:hint="eastAsia" w:ascii="宋体" w:hAnsi="Times New Roman" w:eastAsia="宋体" w:cs="宋体"/>
          <w:b/>
          <w:kern w:val="0"/>
          <w:szCs w:val="24"/>
        </w:rPr>
        <w:t>处理。</w:t>
      </w:r>
    </w:p>
    <w:p>
      <w:pPr>
        <w:widowControl/>
        <w:shd w:val="clear" w:color="auto" w:fill="FFFFFF"/>
        <w:adjustRightInd w:val="0"/>
        <w:snapToGrid w:val="0"/>
        <w:spacing w:line="360" w:lineRule="auto"/>
        <w:ind w:firstLine="420"/>
        <w:rPr>
          <w:rFonts w:ascii="宋体" w:hAnsi="Times New Roman" w:eastAsia="宋体" w:cs="宋体"/>
          <w:kern w:val="0"/>
          <w:szCs w:val="24"/>
        </w:rPr>
      </w:pP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单位名称：</w:t>
      </w:r>
      <w:r>
        <w:rPr>
          <w:rFonts w:hint="eastAsia" w:ascii="宋体" w:hAnsi="Times New Roman" w:eastAsia="宋体" w:cs="宋体"/>
          <w:kern w:val="0"/>
          <w:szCs w:val="21"/>
          <w:u w:val="single"/>
        </w:rPr>
        <w:t>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法定代表人或投标供应商授权代表（签名或盖章）：</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单位地址：</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单位公章：</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邮政编码：</w:t>
      </w:r>
      <w:r>
        <w:rPr>
          <w:rFonts w:hint="eastAsia" w:ascii="宋体" w:hAnsi="Times New Roman" w:eastAsia="宋体" w:cs="宋体"/>
          <w:kern w:val="0"/>
          <w:szCs w:val="21"/>
          <w:u w:val="single"/>
        </w:rPr>
        <w:t>______________________</w:t>
      </w:r>
      <w:r>
        <w:rPr>
          <w:rFonts w:hint="eastAsia" w:ascii="宋体" w:hAnsi="Times New Roman" w:eastAsia="宋体" w:cs="宋体"/>
          <w:kern w:val="0"/>
          <w:szCs w:val="24"/>
        </w:rPr>
        <w:t>日期：</w:t>
      </w:r>
      <w:r>
        <w:rPr>
          <w:rFonts w:hint="eastAsia" w:ascii="宋体" w:hAnsi="Times New Roman" w:eastAsia="宋体" w:cs="宋体"/>
          <w:kern w:val="0"/>
          <w:szCs w:val="21"/>
          <w:u w:val="single"/>
        </w:rPr>
        <w:t>______________________</w:t>
      </w:r>
    </w:p>
    <w:p>
      <w:pPr>
        <w:widowControl/>
        <w:shd w:val="clear" w:color="auto" w:fill="FFFFFF"/>
        <w:adjustRightInd w:val="0"/>
        <w:snapToGrid w:val="0"/>
        <w:spacing w:line="360" w:lineRule="auto"/>
        <w:ind w:firstLine="420"/>
        <w:rPr>
          <w:rFonts w:ascii="宋体" w:hAnsi="Times New Roman" w:eastAsia="宋体" w:cs="宋体"/>
          <w:kern w:val="0"/>
          <w:szCs w:val="21"/>
          <w:u w:val="single"/>
        </w:rPr>
      </w:pPr>
      <w:r>
        <w:rPr>
          <w:rFonts w:hint="eastAsia" w:ascii="宋体" w:hAnsi="Times New Roman" w:eastAsia="宋体" w:cs="宋体"/>
          <w:kern w:val="0"/>
          <w:szCs w:val="24"/>
        </w:rPr>
        <w:t>联系电话：</w:t>
      </w:r>
      <w:r>
        <w:rPr>
          <w:rFonts w:hint="eastAsia" w:ascii="宋体" w:hAnsi="Times New Roman" w:eastAsia="宋体" w:cs="宋体"/>
          <w:kern w:val="0"/>
          <w:szCs w:val="21"/>
          <w:u w:val="single"/>
        </w:rPr>
        <w:t>______________________</w:t>
      </w:r>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r>
        <w:rPr>
          <w:rFonts w:ascii="Arial" w:hAnsi="Arial" w:eastAsia="黑体" w:cs="Times New Roman"/>
          <w:b/>
          <w:bCs/>
          <w:sz w:val="28"/>
          <w:szCs w:val="21"/>
          <w:u w:val="single"/>
        </w:rPr>
        <w:br w:type="page"/>
      </w:r>
      <w:bookmarkStart w:id="132" w:name="_Toc480755934"/>
      <w:bookmarkStart w:id="133" w:name="_Toc480789484"/>
      <w:bookmarkStart w:id="134" w:name="_Toc480754213"/>
      <w:bookmarkStart w:id="135" w:name="_Toc480756080"/>
      <w:r>
        <w:rPr>
          <w:rFonts w:hint="eastAsia" w:ascii="Arial" w:hAnsi="Arial" w:eastAsia="黑体" w:cs="Times New Roman"/>
          <w:b/>
          <w:bCs/>
          <w:sz w:val="28"/>
          <w:szCs w:val="28"/>
        </w:rPr>
        <w:t>、项目需求响应表（实质性条款除外、参与评分条款除外）</w:t>
      </w:r>
    </w:p>
    <w:bookmarkEnd w:id="132"/>
    <w:bookmarkEnd w:id="133"/>
    <w:bookmarkEnd w:id="134"/>
    <w:bookmarkEnd w:id="135"/>
    <w:p>
      <w:pPr>
        <w:spacing w:line="300" w:lineRule="auto"/>
        <w:ind w:firstLine="640"/>
        <w:jc w:val="center"/>
        <w:rPr>
          <w:rFonts w:ascii="宋体" w:hAnsi="宋体" w:eastAsia="宋体" w:cs="Times New Roman"/>
          <w:bCs/>
          <w:sz w:val="32"/>
          <w:szCs w:val="32"/>
        </w:rPr>
      </w:pPr>
      <w:r>
        <w:rPr>
          <w:rFonts w:hint="eastAsia" w:ascii="宋体" w:hAnsi="宋体" w:eastAsia="宋体" w:cs="Times New Roman"/>
          <w:bCs/>
          <w:sz w:val="32"/>
          <w:szCs w:val="32"/>
        </w:rPr>
        <w:t>项目需求响应表（实质性条款除外、参与评分条款除外）</w:t>
      </w:r>
    </w:p>
    <w:p>
      <w:pPr>
        <w:widowControl/>
        <w:shd w:val="clear" w:color="auto" w:fill="FFFFFF"/>
        <w:tabs>
          <w:tab w:val="left" w:pos="5543"/>
        </w:tabs>
        <w:wordWrap w:val="0"/>
        <w:adjustRightInd w:val="0"/>
        <w:snapToGrid w:val="0"/>
        <w:spacing w:line="360" w:lineRule="auto"/>
        <w:rPr>
          <w:rFonts w:ascii="宋体" w:hAnsi="宋体" w:eastAsia="宋体" w:cs="宋体"/>
          <w:kern w:val="0"/>
          <w:szCs w:val="24"/>
        </w:rPr>
      </w:pPr>
      <w:r>
        <w:rPr>
          <w:rFonts w:ascii="宋体" w:hAnsi="宋体" w:eastAsia="宋体" w:cs="宋体"/>
          <w:kern w:val="0"/>
          <w:szCs w:val="24"/>
        </w:rPr>
        <w:tab/>
      </w:r>
    </w:p>
    <w:p>
      <w:pPr>
        <w:widowControl/>
        <w:shd w:val="clear" w:color="auto" w:fill="FFFFFF"/>
        <w:wordWrap w:val="0"/>
        <w:adjustRightInd w:val="0"/>
        <w:snapToGrid w:val="0"/>
        <w:spacing w:line="360" w:lineRule="auto"/>
        <w:rPr>
          <w:rFonts w:ascii="宋体" w:hAnsi="宋体" w:eastAsia="宋体" w:cs="宋体"/>
          <w:kern w:val="0"/>
          <w:szCs w:val="24"/>
        </w:rPr>
      </w:pPr>
      <w:r>
        <w:rPr>
          <w:rFonts w:hint="eastAsia" w:ascii="宋体" w:hAnsi="宋体" w:eastAsia="宋体" w:cs="宋体"/>
          <w:kern w:val="0"/>
          <w:szCs w:val="24"/>
        </w:rPr>
        <w:t>项目名称：</w:t>
      </w:r>
      <w:r>
        <w:rPr>
          <w:rFonts w:hint="eastAsia" w:ascii="宋体" w:hAnsi="宋体" w:eastAsia="宋体" w:cs="宋体"/>
          <w:kern w:val="0"/>
          <w:szCs w:val="24"/>
          <w:u w:val="single"/>
        </w:rPr>
        <w:t xml:space="preserve">                                         </w:t>
      </w:r>
      <w:r>
        <w:rPr>
          <w:rFonts w:hint="eastAsia" w:ascii="宋体" w:hAnsi="宋体" w:eastAsia="宋体" w:cs="宋体"/>
          <w:kern w:val="0"/>
          <w:szCs w:val="24"/>
        </w:rPr>
        <w:t>项目编号：</w:t>
      </w:r>
      <w:r>
        <w:rPr>
          <w:rFonts w:hint="eastAsia" w:ascii="ˎ̥" w:hAnsi="ˎ̥" w:eastAsia="宋体" w:cs="宋体"/>
          <w:kern w:val="0"/>
          <w:sz w:val="18"/>
          <w:szCs w:val="18"/>
          <w:u w:val="single"/>
        </w:rPr>
        <w:t xml:space="preserve">                           </w:t>
      </w:r>
    </w:p>
    <w:p>
      <w:pPr>
        <w:widowControl/>
        <w:shd w:val="clear" w:color="auto" w:fill="FFFFFF"/>
        <w:tabs>
          <w:tab w:val="left" w:pos="426"/>
        </w:tabs>
        <w:adjustRightInd w:val="0"/>
        <w:snapToGrid w:val="0"/>
        <w:spacing w:line="360" w:lineRule="auto"/>
        <w:rPr>
          <w:rFonts w:ascii="宋体" w:hAnsi="宋体" w:eastAsia="宋体" w:cs="Arial"/>
          <w:bCs/>
          <w:kern w:val="0"/>
          <w:szCs w:val="24"/>
        </w:rPr>
      </w:pPr>
      <w:r>
        <w:rPr>
          <w:rFonts w:hint="eastAsia" w:ascii="宋体" w:hAnsi="宋体" w:eastAsia="宋体" w:cs="Arial"/>
          <w:bCs/>
          <w:kern w:val="0"/>
          <w:szCs w:val="24"/>
        </w:rPr>
        <w:t>（一）据招标文件要求，我公司承诺响应如下：</w:t>
      </w:r>
    </w:p>
    <w:tbl>
      <w:tblPr>
        <w:tblStyle w:val="86"/>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481"/>
        <w:gridCol w:w="2693"/>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widowControl/>
              <w:shd w:val="clear" w:color="auto" w:fill="FFFFFF"/>
              <w:tabs>
                <w:tab w:val="left" w:pos="426"/>
              </w:tabs>
              <w:adjustRightInd w:val="0"/>
              <w:snapToGrid w:val="0"/>
              <w:jc w:val="center"/>
              <w:rPr>
                <w:rFonts w:ascii="宋体" w:hAnsi="宋体" w:eastAsia="宋体" w:cs="Arial"/>
                <w:kern w:val="0"/>
                <w:szCs w:val="21"/>
              </w:rPr>
            </w:pPr>
            <w:r>
              <w:rPr>
                <w:rFonts w:hint="eastAsia" w:ascii="宋体" w:hAnsi="宋体" w:eastAsia="宋体" w:cs="Arial"/>
                <w:kern w:val="0"/>
                <w:szCs w:val="21"/>
              </w:rPr>
              <w:t>序号</w:t>
            </w:r>
          </w:p>
        </w:tc>
        <w:tc>
          <w:tcPr>
            <w:tcW w:w="4481" w:type="dxa"/>
            <w:vAlign w:val="center"/>
          </w:tcPr>
          <w:p>
            <w:pPr>
              <w:widowControl/>
              <w:shd w:val="clear" w:color="auto" w:fill="FFFFFF"/>
              <w:tabs>
                <w:tab w:val="left" w:pos="426"/>
              </w:tabs>
              <w:adjustRightInd w:val="0"/>
              <w:snapToGrid w:val="0"/>
              <w:jc w:val="center"/>
              <w:rPr>
                <w:rFonts w:ascii="宋体" w:hAnsi="宋体" w:eastAsia="宋体" w:cs="Arial"/>
                <w:kern w:val="0"/>
                <w:szCs w:val="21"/>
              </w:rPr>
            </w:pPr>
            <w:r>
              <w:rPr>
                <w:rFonts w:hint="eastAsia" w:ascii="宋体" w:hAnsi="宋体" w:eastAsia="宋体" w:cs="Arial"/>
                <w:kern w:val="0"/>
                <w:szCs w:val="21"/>
              </w:rPr>
              <w:t>招标文件要求</w:t>
            </w:r>
          </w:p>
        </w:tc>
        <w:tc>
          <w:tcPr>
            <w:tcW w:w="2693" w:type="dxa"/>
            <w:vAlign w:val="center"/>
          </w:tcPr>
          <w:p>
            <w:pPr>
              <w:widowControl/>
              <w:shd w:val="clear" w:color="auto" w:fill="FFFFFF"/>
              <w:tabs>
                <w:tab w:val="left" w:pos="426"/>
              </w:tabs>
              <w:adjustRightInd w:val="0"/>
              <w:snapToGrid w:val="0"/>
              <w:jc w:val="center"/>
              <w:rPr>
                <w:rFonts w:ascii="宋体" w:hAnsi="宋体" w:eastAsia="宋体" w:cs="Arial"/>
                <w:kern w:val="0"/>
                <w:szCs w:val="21"/>
              </w:rPr>
            </w:pPr>
            <w:r>
              <w:rPr>
                <w:rFonts w:hint="eastAsia" w:ascii="宋体" w:hAnsi="宋体" w:eastAsia="宋体" w:cs="Arial"/>
                <w:kern w:val="0"/>
                <w:szCs w:val="21"/>
              </w:rPr>
              <w:t>投标文件响应</w:t>
            </w:r>
          </w:p>
        </w:tc>
        <w:tc>
          <w:tcPr>
            <w:tcW w:w="1820" w:type="dxa"/>
            <w:vAlign w:val="center"/>
          </w:tcPr>
          <w:p>
            <w:pPr>
              <w:widowControl/>
              <w:shd w:val="clear" w:color="auto" w:fill="FFFFFF"/>
              <w:tabs>
                <w:tab w:val="left" w:pos="426"/>
              </w:tabs>
              <w:adjustRightInd w:val="0"/>
              <w:snapToGrid w:val="0"/>
              <w:jc w:val="center"/>
              <w:rPr>
                <w:rFonts w:ascii="宋体" w:hAnsi="宋体" w:eastAsia="宋体" w:cs="Arial"/>
                <w:kern w:val="0"/>
                <w:szCs w:val="21"/>
              </w:rPr>
            </w:pPr>
            <w:r>
              <w:rPr>
                <w:rFonts w:hint="eastAsia" w:ascii="宋体" w:hAnsi="宋体" w:eastAsia="宋体" w:cs="Arial"/>
                <w:kern w:val="0"/>
                <w:szCs w:val="21"/>
              </w:rPr>
              <w:t>偏离说明（符合/正偏离/负偏离）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2" w:type="dxa"/>
            <w:vAlign w:val="center"/>
          </w:tcPr>
          <w:p>
            <w:pPr>
              <w:widowControl/>
              <w:shd w:val="clear" w:color="auto" w:fill="FFFFFF"/>
              <w:tabs>
                <w:tab w:val="left" w:pos="426"/>
              </w:tabs>
              <w:adjustRightInd w:val="0"/>
              <w:snapToGrid w:val="0"/>
              <w:jc w:val="center"/>
              <w:rPr>
                <w:rFonts w:ascii="宋体" w:hAnsi="宋体" w:eastAsia="宋体" w:cs="Arial"/>
                <w:kern w:val="0"/>
                <w:szCs w:val="21"/>
              </w:rPr>
            </w:pPr>
            <w:r>
              <w:rPr>
                <w:rFonts w:hint="eastAsia" w:ascii="宋体" w:hAnsi="宋体" w:eastAsia="宋体" w:cs="Arial"/>
                <w:kern w:val="0"/>
                <w:szCs w:val="21"/>
              </w:rPr>
              <w:t>1</w:t>
            </w:r>
          </w:p>
        </w:tc>
        <w:tc>
          <w:tcPr>
            <w:tcW w:w="4481" w:type="dxa"/>
            <w:vAlign w:val="center"/>
          </w:tcPr>
          <w:p>
            <w:pPr>
              <w:widowControl/>
              <w:shd w:val="clear" w:color="auto" w:fill="FFFFFF"/>
              <w:tabs>
                <w:tab w:val="left" w:pos="426"/>
              </w:tabs>
              <w:adjustRightInd w:val="0"/>
              <w:snapToGrid w:val="0"/>
              <w:jc w:val="center"/>
              <w:rPr>
                <w:rFonts w:ascii="宋体" w:hAnsi="宋体" w:eastAsia="宋体" w:cs="宋体"/>
                <w:bCs/>
                <w:kern w:val="0"/>
                <w:szCs w:val="24"/>
              </w:rPr>
            </w:pPr>
            <w:r>
              <w:rPr>
                <w:rFonts w:hint="eastAsia" w:ascii="宋体" w:hAnsi="宋体" w:eastAsia="宋体" w:cs="Arial"/>
                <w:kern w:val="0"/>
                <w:szCs w:val="24"/>
              </w:rPr>
              <w:t>招标文件第三章</w:t>
            </w:r>
            <w:r>
              <w:rPr>
                <w:rFonts w:hint="eastAsia" w:ascii="宋体" w:hAnsi="宋体" w:eastAsia="宋体" w:cs="宋体"/>
                <w:bCs/>
                <w:kern w:val="0"/>
                <w:szCs w:val="24"/>
              </w:rPr>
              <w:t>项目</w:t>
            </w:r>
            <w:r>
              <w:rPr>
                <w:rFonts w:hint="eastAsia" w:ascii="宋体" w:hAnsi="宋体" w:eastAsia="宋体" w:cs="宋体"/>
                <w:kern w:val="0"/>
                <w:szCs w:val="24"/>
              </w:rPr>
              <w:t>需求</w:t>
            </w:r>
            <w:r>
              <w:rPr>
                <w:rFonts w:hint="eastAsia" w:ascii="宋体" w:hAnsi="宋体" w:eastAsia="宋体" w:cs="宋体"/>
                <w:bCs/>
                <w:kern w:val="0"/>
                <w:szCs w:val="24"/>
              </w:rPr>
              <w:t>（实质性条款除外、参与评分条款除外）</w:t>
            </w:r>
            <w:r>
              <w:rPr>
                <w:rFonts w:hint="eastAsia" w:ascii="宋体" w:hAnsi="宋体" w:eastAsia="宋体" w:cs="宋体"/>
                <w:kern w:val="0"/>
                <w:szCs w:val="24"/>
              </w:rPr>
              <w:t>的全部内容</w:t>
            </w:r>
          </w:p>
        </w:tc>
        <w:tc>
          <w:tcPr>
            <w:tcW w:w="2693" w:type="dxa"/>
            <w:vAlign w:val="center"/>
          </w:tcPr>
          <w:p>
            <w:pPr>
              <w:widowControl/>
              <w:shd w:val="clear" w:color="auto" w:fill="FFFFFF"/>
              <w:tabs>
                <w:tab w:val="left" w:pos="426"/>
              </w:tabs>
              <w:adjustRightInd w:val="0"/>
              <w:snapToGrid w:val="0"/>
              <w:jc w:val="center"/>
              <w:rPr>
                <w:rFonts w:ascii="宋体" w:hAnsi="宋体" w:eastAsia="宋体" w:cs="Arial"/>
                <w:kern w:val="0"/>
                <w:szCs w:val="24"/>
              </w:rPr>
            </w:pPr>
            <w:r>
              <w:rPr>
                <w:rFonts w:hint="eastAsia" w:ascii="宋体" w:hAnsi="宋体" w:eastAsia="宋体" w:cs="Arial"/>
                <w:kern w:val="0"/>
                <w:szCs w:val="24"/>
              </w:rPr>
              <w:t>完全满足招标文件第三章</w:t>
            </w:r>
            <w:r>
              <w:rPr>
                <w:rFonts w:hint="eastAsia" w:ascii="宋体" w:hAnsi="宋体" w:eastAsia="宋体" w:cs="宋体"/>
                <w:bCs/>
                <w:kern w:val="0"/>
                <w:szCs w:val="24"/>
              </w:rPr>
              <w:t>项目</w:t>
            </w:r>
            <w:r>
              <w:rPr>
                <w:rFonts w:hint="eastAsia" w:ascii="宋体" w:hAnsi="宋体" w:eastAsia="宋体" w:cs="宋体"/>
                <w:kern w:val="0"/>
                <w:szCs w:val="24"/>
              </w:rPr>
              <w:t>需求</w:t>
            </w:r>
            <w:r>
              <w:rPr>
                <w:rFonts w:hint="eastAsia" w:ascii="宋体" w:hAnsi="宋体" w:eastAsia="宋体" w:cs="宋体"/>
                <w:bCs/>
                <w:kern w:val="0"/>
                <w:szCs w:val="24"/>
              </w:rPr>
              <w:t>（实质性条款除外、参与评分条款除外）</w:t>
            </w:r>
            <w:r>
              <w:rPr>
                <w:rFonts w:hint="eastAsia" w:ascii="宋体" w:hAnsi="宋体" w:eastAsia="宋体" w:cs="宋体"/>
                <w:kern w:val="0"/>
                <w:szCs w:val="24"/>
              </w:rPr>
              <w:t>的全部内容</w:t>
            </w:r>
          </w:p>
        </w:tc>
        <w:tc>
          <w:tcPr>
            <w:tcW w:w="1820" w:type="dxa"/>
            <w:vAlign w:val="center"/>
          </w:tcPr>
          <w:p>
            <w:pPr>
              <w:widowControl/>
              <w:shd w:val="clear" w:color="auto" w:fill="FFFFFF"/>
              <w:tabs>
                <w:tab w:val="left" w:pos="426"/>
              </w:tabs>
              <w:adjustRightInd w:val="0"/>
              <w:snapToGrid w:val="0"/>
              <w:jc w:val="center"/>
              <w:rPr>
                <w:rFonts w:ascii="宋体" w:hAnsi="宋体" w:eastAsia="宋体" w:cs="宋体"/>
                <w:kern w:val="0"/>
                <w:szCs w:val="21"/>
              </w:rPr>
            </w:pPr>
            <w:r>
              <w:rPr>
                <w:rFonts w:hint="eastAsia" w:ascii="宋体" w:hAnsi="宋体" w:eastAsia="宋体" w:cs="Arial"/>
                <w:kern w:val="0"/>
                <w:szCs w:val="24"/>
              </w:rPr>
              <w:t>符合</w:t>
            </w:r>
          </w:p>
        </w:tc>
      </w:tr>
    </w:tbl>
    <w:p>
      <w:pPr>
        <w:widowControl/>
        <w:shd w:val="clear" w:color="auto" w:fill="FFFFFF"/>
        <w:tabs>
          <w:tab w:val="left" w:pos="426"/>
        </w:tabs>
        <w:adjustRightInd w:val="0"/>
        <w:snapToGrid w:val="0"/>
        <w:spacing w:line="360" w:lineRule="auto"/>
        <w:rPr>
          <w:rFonts w:ascii="宋体" w:hAnsi="宋体" w:eastAsia="宋体" w:cs="宋体"/>
          <w:bCs/>
          <w:kern w:val="0"/>
          <w:szCs w:val="24"/>
        </w:rPr>
      </w:pPr>
    </w:p>
    <w:p>
      <w:pPr>
        <w:widowControl/>
        <w:shd w:val="clear" w:color="auto" w:fill="FFFFFF"/>
        <w:tabs>
          <w:tab w:val="left" w:pos="426"/>
        </w:tabs>
        <w:adjustRightInd w:val="0"/>
        <w:snapToGrid w:val="0"/>
        <w:spacing w:line="360" w:lineRule="auto"/>
        <w:rPr>
          <w:rFonts w:ascii="宋体" w:hAnsi="宋体" w:eastAsia="宋体" w:cs="宋体"/>
          <w:bCs/>
          <w:kern w:val="0"/>
          <w:szCs w:val="24"/>
        </w:rPr>
      </w:pPr>
      <w:r>
        <w:rPr>
          <w:rFonts w:hint="eastAsia" w:ascii="宋体" w:hAnsi="宋体" w:eastAsia="宋体" w:cs="宋体"/>
          <w:bCs/>
          <w:kern w:val="0"/>
          <w:szCs w:val="24"/>
        </w:rPr>
        <w:t>（二）对《项目需求响应表》的补充说明</w:t>
      </w:r>
    </w:p>
    <w:p>
      <w:pPr>
        <w:widowControl/>
        <w:shd w:val="clear" w:color="auto" w:fill="FFFFFF"/>
        <w:adjustRightInd w:val="0"/>
        <w:snapToGrid w:val="0"/>
        <w:spacing w:line="360" w:lineRule="auto"/>
        <w:ind w:firstLine="424" w:firstLineChars="202"/>
        <w:rPr>
          <w:rFonts w:ascii="宋体" w:hAnsi="宋体" w:eastAsia="宋体" w:cs="宋体"/>
          <w:bCs/>
          <w:kern w:val="0"/>
          <w:szCs w:val="24"/>
        </w:rPr>
      </w:pPr>
      <w:r>
        <w:rPr>
          <w:rFonts w:hint="eastAsia" w:ascii="宋体" w:hAnsi="宋体" w:eastAsia="宋体" w:cs="宋体"/>
          <w:bCs/>
          <w:kern w:val="0"/>
          <w:szCs w:val="24"/>
        </w:rPr>
        <w:t>填写表中“偏离说明”一栏的未尽内容（例如：偏离原因、解决方案等）及投标人认为需要补充说明的其他内容，格式自定。</w:t>
      </w:r>
    </w:p>
    <w:p>
      <w:pPr>
        <w:widowControl/>
        <w:shd w:val="clear" w:color="auto" w:fill="FFFFFF"/>
        <w:tabs>
          <w:tab w:val="left" w:pos="426"/>
        </w:tabs>
        <w:adjustRightInd w:val="0"/>
        <w:snapToGrid w:val="0"/>
        <w:spacing w:line="360" w:lineRule="auto"/>
        <w:rPr>
          <w:rFonts w:ascii="宋体" w:hAnsi="宋体" w:eastAsia="宋体" w:cs="宋体"/>
          <w:bCs/>
          <w:kern w:val="0"/>
          <w:szCs w:val="24"/>
        </w:rPr>
      </w:pPr>
    </w:p>
    <w:p>
      <w:pPr>
        <w:widowControl/>
        <w:shd w:val="clear" w:color="auto" w:fill="FFFFFF"/>
        <w:tabs>
          <w:tab w:val="left" w:pos="426"/>
        </w:tabs>
        <w:adjustRightInd w:val="0"/>
        <w:snapToGrid w:val="0"/>
        <w:spacing w:line="360" w:lineRule="auto"/>
        <w:rPr>
          <w:rFonts w:ascii="宋体" w:hAnsi="宋体" w:eastAsia="宋体" w:cs="宋体"/>
          <w:bCs/>
          <w:kern w:val="0"/>
          <w:szCs w:val="24"/>
        </w:rPr>
      </w:pPr>
    </w:p>
    <w:p>
      <w:pPr>
        <w:widowControl/>
        <w:shd w:val="clear" w:color="auto" w:fill="FFFFFF"/>
        <w:adjustRightInd w:val="0"/>
        <w:snapToGrid w:val="0"/>
        <w:spacing w:line="360" w:lineRule="auto"/>
        <w:ind w:firstLine="420"/>
        <w:rPr>
          <w:rFonts w:ascii="宋体" w:hAnsi="宋体" w:eastAsia="宋体" w:cs="宋体"/>
          <w:kern w:val="0"/>
          <w:szCs w:val="24"/>
          <w:u w:val="single"/>
        </w:rPr>
      </w:pPr>
      <w:r>
        <w:rPr>
          <w:rFonts w:hint="eastAsia" w:ascii="宋体" w:hAnsi="宋体" w:eastAsia="宋体" w:cs="宋体"/>
          <w:kern w:val="0"/>
          <w:szCs w:val="24"/>
        </w:rPr>
        <w:t>单位名称：</w:t>
      </w:r>
      <w:r>
        <w:rPr>
          <w:rFonts w:hint="eastAsia" w:ascii="宋体" w:hAnsi="宋体" w:eastAsia="宋体" w:cs="宋体"/>
          <w:kern w:val="0"/>
          <w:szCs w:val="24"/>
          <w:u w:val="single"/>
        </w:rPr>
        <w:t xml:space="preserve">                                                             </w:t>
      </w:r>
    </w:p>
    <w:p>
      <w:pPr>
        <w:widowControl/>
        <w:shd w:val="clear" w:color="auto" w:fill="FFFFFF"/>
        <w:adjustRightInd w:val="0"/>
        <w:snapToGrid w:val="0"/>
        <w:spacing w:line="360" w:lineRule="auto"/>
        <w:ind w:firstLine="420"/>
        <w:rPr>
          <w:rFonts w:ascii="宋体" w:hAnsi="宋体" w:eastAsia="宋体" w:cs="宋体"/>
          <w:kern w:val="0"/>
          <w:szCs w:val="24"/>
          <w:u w:val="single"/>
        </w:rPr>
      </w:pPr>
      <w:r>
        <w:rPr>
          <w:rFonts w:hint="eastAsia" w:ascii="宋体" w:hAnsi="宋体" w:eastAsia="宋体" w:cs="宋体"/>
          <w:kern w:val="0"/>
          <w:szCs w:val="24"/>
        </w:rPr>
        <w:t>法定代表人或投标人授权代表（签名或盖章）：</w:t>
      </w:r>
      <w:r>
        <w:rPr>
          <w:rFonts w:hint="eastAsia" w:ascii="宋体" w:hAnsi="宋体" w:eastAsia="宋体" w:cs="宋体"/>
          <w:kern w:val="0"/>
          <w:szCs w:val="24"/>
          <w:u w:val="single"/>
        </w:rPr>
        <w:t xml:space="preserve">                             </w:t>
      </w:r>
    </w:p>
    <w:p>
      <w:pPr>
        <w:widowControl/>
        <w:shd w:val="clear" w:color="auto" w:fill="FFFFFF"/>
        <w:adjustRightInd w:val="0"/>
        <w:snapToGrid w:val="0"/>
        <w:spacing w:line="360" w:lineRule="auto"/>
        <w:ind w:firstLine="420"/>
        <w:rPr>
          <w:rFonts w:ascii="宋体" w:hAnsi="宋体" w:eastAsia="宋体" w:cs="宋体"/>
          <w:kern w:val="0"/>
          <w:szCs w:val="24"/>
          <w:u w:val="single"/>
        </w:rPr>
      </w:pPr>
      <w:r>
        <w:rPr>
          <w:rFonts w:hint="eastAsia" w:ascii="宋体" w:hAnsi="宋体" w:eastAsia="宋体" w:cs="宋体"/>
          <w:kern w:val="0"/>
          <w:szCs w:val="24"/>
        </w:rPr>
        <w:t>单位地址：</w:t>
      </w:r>
      <w:r>
        <w:rPr>
          <w:rFonts w:hint="eastAsia" w:ascii="宋体" w:hAnsi="宋体" w:eastAsia="宋体" w:cs="宋体"/>
          <w:kern w:val="0"/>
          <w:szCs w:val="24"/>
          <w:u w:val="single"/>
        </w:rPr>
        <w:t xml:space="preserve">                                                             </w:t>
      </w:r>
    </w:p>
    <w:p>
      <w:pPr>
        <w:widowControl/>
        <w:shd w:val="clear" w:color="auto" w:fill="FFFFFF"/>
        <w:adjustRightInd w:val="0"/>
        <w:snapToGrid w:val="0"/>
        <w:spacing w:line="360" w:lineRule="auto"/>
        <w:ind w:firstLine="420"/>
        <w:rPr>
          <w:rFonts w:ascii="宋体" w:hAnsi="宋体" w:eastAsia="宋体" w:cs="宋体"/>
          <w:kern w:val="0"/>
          <w:szCs w:val="24"/>
          <w:u w:val="single"/>
        </w:rPr>
      </w:pPr>
      <w:r>
        <w:rPr>
          <w:rFonts w:hint="eastAsia" w:ascii="宋体" w:hAnsi="宋体" w:eastAsia="宋体" w:cs="宋体"/>
          <w:kern w:val="0"/>
          <w:szCs w:val="24"/>
        </w:rPr>
        <w:t>单位公章：</w:t>
      </w:r>
      <w:r>
        <w:rPr>
          <w:rFonts w:hint="eastAsia" w:ascii="宋体" w:hAnsi="宋体" w:eastAsia="宋体" w:cs="宋体"/>
          <w:kern w:val="0"/>
          <w:szCs w:val="24"/>
          <w:u w:val="single"/>
        </w:rPr>
        <w:t xml:space="preserve">                                                             </w:t>
      </w:r>
    </w:p>
    <w:p>
      <w:pPr>
        <w:widowControl/>
        <w:shd w:val="clear" w:color="auto" w:fill="FFFFFF"/>
        <w:adjustRightInd w:val="0"/>
        <w:snapToGrid w:val="0"/>
        <w:spacing w:line="360" w:lineRule="auto"/>
        <w:ind w:firstLine="420"/>
        <w:rPr>
          <w:rFonts w:ascii="宋体" w:hAnsi="宋体" w:eastAsia="宋体" w:cs="宋体"/>
          <w:kern w:val="0"/>
          <w:szCs w:val="24"/>
          <w:u w:val="single"/>
        </w:rPr>
      </w:pPr>
      <w:r>
        <w:rPr>
          <w:rFonts w:hint="eastAsia" w:ascii="宋体" w:hAnsi="宋体" w:eastAsia="宋体" w:cs="宋体"/>
          <w:kern w:val="0"/>
          <w:szCs w:val="24"/>
        </w:rPr>
        <w:t>邮政编码：</w:t>
      </w:r>
      <w:r>
        <w:rPr>
          <w:rFonts w:hint="eastAsia" w:ascii="宋体" w:hAnsi="宋体" w:eastAsia="宋体" w:cs="宋体"/>
          <w:kern w:val="0"/>
          <w:szCs w:val="24"/>
          <w:u w:val="single"/>
        </w:rPr>
        <w:t xml:space="preserve">                             </w:t>
      </w:r>
      <w:r>
        <w:rPr>
          <w:rFonts w:hint="eastAsia" w:ascii="宋体" w:hAnsi="宋体" w:eastAsia="宋体" w:cs="宋体"/>
          <w:kern w:val="0"/>
          <w:szCs w:val="24"/>
        </w:rPr>
        <w:t>日期：</w:t>
      </w:r>
      <w:r>
        <w:rPr>
          <w:rFonts w:hint="eastAsia" w:ascii="宋体" w:hAnsi="宋体" w:eastAsia="宋体" w:cs="宋体"/>
          <w:kern w:val="0"/>
          <w:szCs w:val="24"/>
          <w:u w:val="single"/>
        </w:rPr>
        <w:t xml:space="preserve">                          </w:t>
      </w:r>
    </w:p>
    <w:p>
      <w:pPr>
        <w:widowControl/>
        <w:shd w:val="clear" w:color="auto" w:fill="FFFFFF"/>
        <w:adjustRightInd w:val="0"/>
        <w:snapToGrid w:val="0"/>
        <w:spacing w:line="360" w:lineRule="auto"/>
        <w:ind w:firstLine="420"/>
        <w:rPr>
          <w:rFonts w:ascii="宋体" w:hAnsi="宋体" w:eastAsia="宋体" w:cs="宋体"/>
          <w:kern w:val="0"/>
          <w:szCs w:val="24"/>
          <w:u w:val="single"/>
        </w:rPr>
      </w:pPr>
      <w:r>
        <w:rPr>
          <w:rFonts w:hint="eastAsia" w:ascii="宋体" w:hAnsi="宋体" w:eastAsia="宋体" w:cs="宋体"/>
          <w:kern w:val="0"/>
          <w:szCs w:val="24"/>
        </w:rPr>
        <w:t>联系电话：</w:t>
      </w:r>
      <w:r>
        <w:rPr>
          <w:rFonts w:hint="eastAsia" w:ascii="宋体" w:hAnsi="宋体" w:eastAsia="宋体" w:cs="宋体"/>
          <w:kern w:val="0"/>
          <w:szCs w:val="24"/>
          <w:u w:val="single"/>
        </w:rPr>
        <w:t xml:space="preserve">                                                             </w:t>
      </w:r>
    </w:p>
    <w:p>
      <w:pPr>
        <w:widowControl/>
        <w:shd w:val="clear" w:color="auto" w:fill="FFFFFF"/>
        <w:tabs>
          <w:tab w:val="left" w:pos="426"/>
        </w:tabs>
        <w:adjustRightInd w:val="0"/>
        <w:snapToGrid w:val="0"/>
        <w:spacing w:line="360" w:lineRule="auto"/>
        <w:rPr>
          <w:rFonts w:ascii="宋体" w:hAnsi="宋体" w:eastAsia="宋体" w:cs="宋体"/>
          <w:bCs/>
          <w:kern w:val="0"/>
          <w:szCs w:val="24"/>
        </w:rPr>
      </w:pPr>
    </w:p>
    <w:p>
      <w:pPr>
        <w:widowControl/>
        <w:shd w:val="clear" w:color="auto" w:fill="FFFFFF"/>
        <w:tabs>
          <w:tab w:val="left" w:pos="426"/>
        </w:tabs>
        <w:adjustRightInd w:val="0"/>
        <w:snapToGrid w:val="0"/>
        <w:spacing w:line="360" w:lineRule="auto"/>
        <w:rPr>
          <w:rFonts w:ascii="宋体" w:hAnsi="宋体" w:eastAsia="宋体" w:cs="宋体"/>
          <w:bCs/>
          <w:kern w:val="0"/>
          <w:szCs w:val="24"/>
        </w:rPr>
      </w:pPr>
      <w:r>
        <w:rPr>
          <w:rFonts w:hint="eastAsia" w:ascii="宋体" w:hAnsi="宋体" w:eastAsia="宋体" w:cs="宋体"/>
          <w:bCs/>
          <w:kern w:val="0"/>
          <w:szCs w:val="24"/>
        </w:rPr>
        <w:t>填写说明：</w:t>
      </w:r>
    </w:p>
    <w:p>
      <w:pPr>
        <w:widowControl/>
        <w:shd w:val="clear" w:color="auto" w:fill="FFFFFF"/>
        <w:tabs>
          <w:tab w:val="left" w:pos="426"/>
        </w:tabs>
        <w:adjustRightInd w:val="0"/>
        <w:snapToGrid w:val="0"/>
        <w:spacing w:line="360" w:lineRule="auto"/>
        <w:ind w:firstLine="420" w:firstLineChars="200"/>
        <w:rPr>
          <w:rFonts w:ascii="宋体" w:hAnsi="宋体" w:eastAsia="宋体" w:cs="宋体"/>
          <w:bCs/>
          <w:kern w:val="0"/>
          <w:szCs w:val="24"/>
        </w:rPr>
      </w:pPr>
      <w:r>
        <w:rPr>
          <w:rFonts w:hint="eastAsia" w:ascii="宋体" w:hAnsi="宋体" w:eastAsia="宋体" w:cs="宋体"/>
          <w:bCs/>
          <w:kern w:val="0"/>
          <w:szCs w:val="24"/>
        </w:rPr>
        <w:t>1.上述表格，若投标人项目需求商务条款无偏离，“招标文件要求”栏填写“</w:t>
      </w:r>
      <w:r>
        <w:rPr>
          <w:rFonts w:hint="eastAsia" w:ascii="宋体" w:hAnsi="宋体" w:eastAsia="宋体" w:cs="Arial"/>
          <w:kern w:val="0"/>
          <w:szCs w:val="24"/>
        </w:rPr>
        <w:t>招标文件第三章</w:t>
      </w:r>
      <w:r>
        <w:rPr>
          <w:rFonts w:hint="eastAsia" w:ascii="宋体" w:hAnsi="宋体" w:eastAsia="宋体" w:cs="宋体"/>
          <w:bCs/>
          <w:kern w:val="0"/>
          <w:szCs w:val="24"/>
        </w:rPr>
        <w:t>项目</w:t>
      </w:r>
      <w:r>
        <w:rPr>
          <w:rFonts w:hint="eastAsia" w:ascii="宋体" w:hAnsi="宋体" w:eastAsia="宋体" w:cs="宋体"/>
          <w:kern w:val="0"/>
          <w:szCs w:val="24"/>
        </w:rPr>
        <w:t>需求</w:t>
      </w:r>
      <w:r>
        <w:rPr>
          <w:rFonts w:hint="eastAsia" w:ascii="宋体" w:hAnsi="宋体" w:eastAsia="宋体" w:cs="宋体"/>
          <w:bCs/>
          <w:kern w:val="0"/>
          <w:szCs w:val="24"/>
        </w:rPr>
        <w:t>（实质性条款除外、参与评分条款除外）</w:t>
      </w:r>
      <w:r>
        <w:rPr>
          <w:rFonts w:hint="eastAsia" w:ascii="宋体" w:hAnsi="宋体" w:eastAsia="宋体" w:cs="宋体"/>
          <w:kern w:val="0"/>
          <w:szCs w:val="24"/>
        </w:rPr>
        <w:t>的全部内容</w:t>
      </w:r>
      <w:r>
        <w:rPr>
          <w:rFonts w:hint="eastAsia" w:ascii="宋体" w:hAnsi="宋体" w:eastAsia="宋体" w:cs="宋体"/>
          <w:bCs/>
          <w:kern w:val="0"/>
          <w:szCs w:val="24"/>
        </w:rPr>
        <w:t>”、“投标文件响应”栏填写“</w:t>
      </w:r>
      <w:r>
        <w:rPr>
          <w:rFonts w:hint="eastAsia" w:ascii="宋体" w:hAnsi="宋体" w:eastAsia="宋体" w:cs="Arial"/>
          <w:kern w:val="0"/>
          <w:szCs w:val="24"/>
        </w:rPr>
        <w:t>完全满足招标文件第三章</w:t>
      </w:r>
      <w:r>
        <w:rPr>
          <w:rFonts w:hint="eastAsia" w:ascii="宋体" w:hAnsi="宋体" w:eastAsia="宋体" w:cs="宋体"/>
          <w:bCs/>
          <w:kern w:val="0"/>
          <w:szCs w:val="24"/>
        </w:rPr>
        <w:t>项目</w:t>
      </w:r>
      <w:r>
        <w:rPr>
          <w:rFonts w:hint="eastAsia" w:ascii="宋体" w:hAnsi="宋体" w:eastAsia="宋体" w:cs="宋体"/>
          <w:kern w:val="0"/>
          <w:szCs w:val="24"/>
        </w:rPr>
        <w:t>需求</w:t>
      </w:r>
      <w:r>
        <w:rPr>
          <w:rFonts w:hint="eastAsia" w:ascii="宋体" w:hAnsi="宋体" w:eastAsia="宋体" w:cs="宋体"/>
          <w:bCs/>
          <w:kern w:val="0"/>
          <w:szCs w:val="24"/>
        </w:rPr>
        <w:t>（实质性条款除外、参与评分条款除外）</w:t>
      </w:r>
      <w:r>
        <w:rPr>
          <w:rFonts w:hint="eastAsia" w:ascii="宋体" w:hAnsi="宋体" w:eastAsia="宋体" w:cs="宋体"/>
          <w:kern w:val="0"/>
          <w:szCs w:val="24"/>
        </w:rPr>
        <w:t>的全部内容</w:t>
      </w:r>
      <w:r>
        <w:rPr>
          <w:rFonts w:hint="eastAsia" w:ascii="宋体" w:hAnsi="宋体" w:eastAsia="宋体" w:cs="宋体"/>
          <w:bCs/>
          <w:kern w:val="0"/>
          <w:szCs w:val="24"/>
        </w:rPr>
        <w:t>”即可。</w:t>
      </w:r>
    </w:p>
    <w:p>
      <w:pPr>
        <w:widowControl/>
        <w:shd w:val="clear" w:color="auto" w:fill="FFFFFF"/>
        <w:tabs>
          <w:tab w:val="left" w:pos="426"/>
        </w:tabs>
        <w:adjustRightInd w:val="0"/>
        <w:snapToGrid w:val="0"/>
        <w:spacing w:line="360" w:lineRule="auto"/>
        <w:ind w:firstLine="420" w:firstLineChars="200"/>
        <w:rPr>
          <w:rFonts w:ascii="宋体" w:hAnsi="宋体" w:eastAsia="宋体" w:cs="宋体"/>
          <w:bCs/>
          <w:kern w:val="0"/>
          <w:szCs w:val="24"/>
        </w:rPr>
      </w:pPr>
      <w:r>
        <w:rPr>
          <w:rFonts w:hint="eastAsia" w:ascii="宋体" w:hAnsi="宋体" w:eastAsia="宋体" w:cs="宋体"/>
          <w:bCs/>
          <w:kern w:val="0"/>
          <w:szCs w:val="24"/>
        </w:rPr>
        <w:t>2.若响应情况优于招标要求，应作详细说明。“偏离情况”栏中根据响应情况填写，达到要求的填“</w:t>
      </w:r>
      <w:r>
        <w:rPr>
          <w:rFonts w:hint="eastAsia" w:ascii="宋体" w:hAnsi="宋体" w:eastAsia="宋体" w:cs="Arial"/>
          <w:bCs/>
          <w:kern w:val="0"/>
          <w:szCs w:val="24"/>
        </w:rPr>
        <w:t>符合</w:t>
      </w:r>
      <w:r>
        <w:rPr>
          <w:rFonts w:hint="eastAsia" w:ascii="宋体" w:hAnsi="宋体" w:eastAsia="宋体" w:cs="宋体"/>
          <w:bCs/>
          <w:kern w:val="0"/>
          <w:szCs w:val="24"/>
        </w:rPr>
        <w:t>”，优于要求的填“</w:t>
      </w:r>
      <w:r>
        <w:rPr>
          <w:rFonts w:hint="eastAsia" w:ascii="宋体" w:hAnsi="宋体" w:eastAsia="宋体" w:cs="Arial"/>
          <w:bCs/>
          <w:kern w:val="0"/>
          <w:szCs w:val="24"/>
        </w:rPr>
        <w:t>正偏离</w:t>
      </w:r>
      <w:r>
        <w:rPr>
          <w:rFonts w:hint="eastAsia" w:ascii="宋体" w:hAnsi="宋体" w:eastAsia="宋体" w:cs="宋体"/>
          <w:bCs/>
          <w:kern w:val="0"/>
          <w:szCs w:val="24"/>
        </w:rPr>
        <w:t>”没有达到要求的填“</w:t>
      </w:r>
      <w:r>
        <w:rPr>
          <w:rFonts w:hint="eastAsia" w:ascii="宋体" w:hAnsi="宋体" w:eastAsia="宋体" w:cs="Arial"/>
          <w:bCs/>
          <w:kern w:val="0"/>
          <w:szCs w:val="24"/>
        </w:rPr>
        <w:t>负偏离</w:t>
      </w:r>
      <w:r>
        <w:rPr>
          <w:rFonts w:hint="eastAsia" w:ascii="宋体" w:hAnsi="宋体" w:eastAsia="宋体" w:cs="宋体"/>
          <w:bCs/>
          <w:kern w:val="0"/>
          <w:szCs w:val="24"/>
        </w:rPr>
        <w:t>”。</w:t>
      </w:r>
    </w:p>
    <w:p>
      <w:pPr>
        <w:widowControl/>
        <w:shd w:val="clear" w:color="auto" w:fill="FFFFFF"/>
        <w:tabs>
          <w:tab w:val="left" w:pos="426"/>
        </w:tabs>
        <w:adjustRightInd w:val="0"/>
        <w:snapToGrid w:val="0"/>
        <w:spacing w:line="360" w:lineRule="auto"/>
        <w:ind w:right="84" w:rightChars="40" w:firstLine="420" w:firstLineChars="200"/>
        <w:rPr>
          <w:rFonts w:ascii="宋体" w:hAnsi="宋体" w:eastAsia="宋体" w:cs="宋体"/>
          <w:bCs/>
          <w:kern w:val="0"/>
          <w:szCs w:val="24"/>
        </w:rPr>
      </w:pPr>
      <w:r>
        <w:rPr>
          <w:rFonts w:hint="eastAsia" w:ascii="宋体" w:hAnsi="宋体" w:eastAsia="宋体" w:cs="宋体"/>
          <w:bCs/>
          <w:kern w:val="0"/>
          <w:szCs w:val="24"/>
        </w:rPr>
        <w:t>3.若招标文件项目需求要求提供证明材料 投标人必须按招标文件要求附相关证明文件，如未提供相关证明文件的视为负偏离。</w:t>
      </w:r>
    </w:p>
    <w:p>
      <w:pPr>
        <w:widowControl/>
        <w:shd w:val="clear" w:color="auto" w:fill="FFFFFF"/>
        <w:tabs>
          <w:tab w:val="left" w:pos="426"/>
        </w:tabs>
        <w:adjustRightInd w:val="0"/>
        <w:snapToGrid w:val="0"/>
        <w:spacing w:line="360" w:lineRule="auto"/>
        <w:ind w:right="84" w:rightChars="40" w:firstLine="420" w:firstLineChars="200"/>
        <w:rPr>
          <w:rFonts w:ascii="宋体" w:hAnsi="宋体" w:eastAsia="宋体" w:cs="宋体"/>
          <w:bCs/>
          <w:kern w:val="0"/>
          <w:szCs w:val="24"/>
        </w:rPr>
      </w:pPr>
      <w:r>
        <w:rPr>
          <w:rFonts w:hint="eastAsia" w:ascii="宋体" w:hAnsi="宋体" w:eastAsia="宋体" w:cs="宋体"/>
          <w:bCs/>
          <w:kern w:val="0"/>
          <w:szCs w:val="24"/>
        </w:rPr>
        <w:t>4.本偏离表负偏离不得导致无效标。</w:t>
      </w:r>
    </w:p>
    <w:p>
      <w:pPr>
        <w:widowControl/>
        <w:shd w:val="clear" w:color="auto" w:fill="FFFFFF"/>
        <w:tabs>
          <w:tab w:val="left" w:pos="426"/>
        </w:tabs>
        <w:adjustRightInd w:val="0"/>
        <w:snapToGrid w:val="0"/>
        <w:spacing w:line="360" w:lineRule="auto"/>
        <w:ind w:right="84" w:rightChars="40" w:firstLine="420" w:firstLineChars="200"/>
        <w:rPr>
          <w:rFonts w:ascii="宋体" w:hAnsi="宋体" w:eastAsia="宋体" w:cs="宋体"/>
          <w:bCs/>
          <w:kern w:val="0"/>
          <w:szCs w:val="24"/>
        </w:rPr>
      </w:pPr>
      <w:r>
        <w:rPr>
          <w:rFonts w:hint="eastAsia" w:ascii="宋体" w:hAnsi="宋体" w:eastAsia="宋体" w:cs="宋体"/>
          <w:bCs/>
          <w:kern w:val="0"/>
          <w:szCs w:val="24"/>
        </w:rPr>
        <w:t>5</w:t>
      </w:r>
      <w:r>
        <w:rPr>
          <w:rFonts w:ascii="宋体" w:hAnsi="宋体" w:eastAsia="宋体" w:cs="宋体"/>
          <w:bCs/>
          <w:kern w:val="0"/>
          <w:szCs w:val="24"/>
        </w:rPr>
        <w:t>.</w:t>
      </w:r>
      <w:r>
        <w:rPr>
          <w:rFonts w:hint="eastAsia" w:ascii="宋体" w:hAnsi="宋体" w:eastAsia="宋体" w:cs="宋体"/>
          <w:bCs/>
          <w:kern w:val="0"/>
          <w:szCs w:val="24"/>
        </w:rPr>
        <w:t>本偏离表响应情况若与评分表内容涉及的响应情况不一致，以评分表内容响应情况为准。</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ascii="Arial" w:hAnsi="Arial" w:eastAsia="黑体" w:cs="Times New Roman"/>
          <w:b/>
          <w:bCs/>
          <w:sz w:val="28"/>
          <w:szCs w:val="21"/>
          <w:u w:val="single"/>
        </w:rPr>
        <w:br w:type="page"/>
      </w:r>
      <w:bookmarkEnd w:id="126"/>
      <w:bookmarkEnd w:id="127"/>
      <w:bookmarkEnd w:id="128"/>
      <w:bookmarkEnd w:id="129"/>
      <w:bookmarkEnd w:id="130"/>
      <w:bookmarkEnd w:id="131"/>
      <w:bookmarkStart w:id="136" w:name="_Toc43264525"/>
      <w:bookmarkStart w:id="137" w:name="_Toc43264518"/>
      <w:bookmarkStart w:id="138" w:name="_Toc50703730"/>
      <w:bookmarkStart w:id="139" w:name="_Toc50691037"/>
      <w:r>
        <w:rPr>
          <w:rFonts w:hint="eastAsia" w:ascii="Arial" w:hAnsi="Arial" w:eastAsia="黑体" w:cs="Times New Roman"/>
          <w:b/>
          <w:bCs/>
          <w:sz w:val="28"/>
          <w:szCs w:val="28"/>
        </w:rPr>
        <w:t>、投标人认证情况</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hint="eastAsia" w:ascii="Arial" w:hAnsi="Arial" w:eastAsia="黑体" w:cs="Times New Roman"/>
          <w:b/>
          <w:bCs/>
          <w:sz w:val="28"/>
          <w:szCs w:val="28"/>
        </w:rPr>
        <w:t>、同类项目业绩</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hint="eastAsia" w:ascii="Arial" w:hAnsi="Arial" w:eastAsia="黑体" w:cs="Times New Roman"/>
          <w:b/>
          <w:bCs/>
          <w:sz w:val="28"/>
          <w:szCs w:val="28"/>
        </w:rPr>
        <w:t>、履约评价</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hint="eastAsia" w:ascii="Arial" w:hAnsi="Arial" w:eastAsia="黑体" w:cs="Times New Roman"/>
          <w:b/>
          <w:bCs/>
          <w:sz w:val="28"/>
          <w:szCs w:val="28"/>
        </w:rPr>
        <w:t>、拟派项目负责人（仅限一人）</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hint="eastAsia" w:ascii="Arial" w:hAnsi="Arial" w:eastAsia="黑体" w:cs="Times New Roman"/>
          <w:b/>
          <w:bCs/>
          <w:sz w:val="28"/>
          <w:szCs w:val="28"/>
        </w:rPr>
        <w:t>、人员架构（项目负责人除外）</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hint="eastAsia" w:ascii="Arial" w:hAnsi="Arial" w:eastAsia="黑体" w:cs="Times New Roman"/>
          <w:b/>
          <w:bCs/>
          <w:sz w:val="28"/>
          <w:szCs w:val="28"/>
        </w:rPr>
        <w:t>、备品备件</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hint="eastAsia" w:ascii="Arial" w:hAnsi="Arial" w:eastAsia="黑体" w:cs="Times New Roman"/>
          <w:b/>
          <w:bCs/>
          <w:sz w:val="28"/>
          <w:szCs w:val="28"/>
        </w:rPr>
        <w:t>、应急救援</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hint="eastAsia" w:ascii="Arial" w:hAnsi="Arial" w:eastAsia="黑体" w:cs="Times New Roman"/>
          <w:b/>
          <w:bCs/>
          <w:sz w:val="28"/>
          <w:szCs w:val="28"/>
        </w:rPr>
        <w:t>、售后服务</w:t>
      </w:r>
    </w:p>
    <w:p>
      <w:pPr>
        <w:rPr>
          <w:rFonts w:ascii="宋体" w:hAnsi="宋体" w:eastAsia="宋体"/>
          <w:b/>
          <w:bCs/>
          <w:sz w:val="28"/>
          <w:szCs w:val="28"/>
        </w:rPr>
      </w:pPr>
      <w:r>
        <w:rPr>
          <w:rFonts w:hint="eastAsia" w:ascii="宋体" w:hAnsi="宋体" w:eastAsia="宋体"/>
          <w:b/>
          <w:bCs/>
          <w:sz w:val="28"/>
          <w:szCs w:val="28"/>
        </w:rPr>
        <w:t>（以上投标文件编制节点，请依据《评分细则表》的要求提交相应资料，格式自定）</w:t>
      </w:r>
    </w:p>
    <w:p>
      <w:pPr>
        <w:keepNext/>
        <w:keepLines/>
        <w:widowControl/>
        <w:numPr>
          <w:ilvl w:val="0"/>
          <w:numId w:val="46"/>
        </w:numPr>
        <w:shd w:val="clear" w:color="auto" w:fill="FFFFFF"/>
        <w:tabs>
          <w:tab w:val="left" w:pos="426"/>
        </w:tabs>
        <w:adjustRightInd w:val="0"/>
        <w:snapToGrid w:val="0"/>
        <w:spacing w:before="280" w:after="290" w:line="377" w:lineRule="auto"/>
        <w:jc w:val="left"/>
        <w:outlineLvl w:val="3"/>
        <w:rPr>
          <w:rFonts w:ascii="Arial" w:hAnsi="Arial" w:eastAsia="黑体" w:cs="Times New Roman"/>
          <w:b/>
          <w:bCs/>
          <w:sz w:val="28"/>
          <w:szCs w:val="28"/>
        </w:rPr>
      </w:pPr>
      <w:r>
        <w:rPr>
          <w:rFonts w:ascii="Arial" w:hAnsi="Arial" w:eastAsia="黑体" w:cs="Times New Roman"/>
          <w:b/>
          <w:bCs/>
          <w:sz w:val="24"/>
          <w:szCs w:val="28"/>
        </w:rPr>
        <w:br w:type="page"/>
      </w:r>
      <w:bookmarkStart w:id="140" w:name="_Toc36822701"/>
      <w:r>
        <w:rPr>
          <w:rFonts w:hint="eastAsia" w:ascii="Arial" w:hAnsi="Arial" w:eastAsia="黑体" w:cs="Times New Roman"/>
          <w:b/>
          <w:bCs/>
          <w:sz w:val="28"/>
          <w:szCs w:val="28"/>
        </w:rPr>
        <w:t>、招标代理服务费承诺书</w:t>
      </w:r>
      <w:bookmarkEnd w:id="140"/>
    </w:p>
    <w:p>
      <w:pPr>
        <w:spacing w:line="300" w:lineRule="auto"/>
        <w:ind w:firstLine="640"/>
        <w:jc w:val="center"/>
        <w:rPr>
          <w:rFonts w:ascii="宋体" w:hAnsi="Times New Roman" w:eastAsia="宋体" w:cs="Times New Roman"/>
          <w:bCs/>
          <w:sz w:val="32"/>
          <w:szCs w:val="32"/>
        </w:rPr>
      </w:pPr>
      <w:r>
        <w:rPr>
          <w:rFonts w:hint="eastAsia" w:ascii="宋体" w:hAnsi="Times New Roman" w:eastAsia="宋体" w:cs="Times New Roman"/>
          <w:bCs/>
          <w:sz w:val="32"/>
          <w:szCs w:val="32"/>
        </w:rPr>
        <w:t>招标代理服务费承诺书</w:t>
      </w:r>
    </w:p>
    <w:p>
      <w:pPr>
        <w:widowControl/>
        <w:shd w:val="clear" w:color="auto" w:fill="FFFFFF"/>
        <w:spacing w:line="360" w:lineRule="auto"/>
        <w:ind w:firstLine="422"/>
        <w:rPr>
          <w:rFonts w:ascii="宋体" w:hAnsi="Times New Roman" w:eastAsia="宋体" w:cs="宋体"/>
          <w:b/>
          <w:kern w:val="0"/>
          <w:szCs w:val="24"/>
        </w:rPr>
      </w:pPr>
    </w:p>
    <w:p>
      <w:pPr>
        <w:widowControl/>
        <w:shd w:val="clear" w:color="auto" w:fill="FFFFFF"/>
        <w:spacing w:line="360" w:lineRule="auto"/>
        <w:ind w:firstLine="422"/>
        <w:rPr>
          <w:rFonts w:ascii="宋体" w:hAnsi="Times New Roman" w:eastAsia="宋体" w:cs="宋体"/>
          <w:b/>
          <w:kern w:val="0"/>
          <w:szCs w:val="24"/>
        </w:rPr>
      </w:pPr>
      <w:r>
        <w:rPr>
          <w:rFonts w:hint="eastAsia" w:ascii="宋体" w:hAnsi="Times New Roman" w:eastAsia="宋体" w:cs="宋体"/>
          <w:b/>
          <w:kern w:val="0"/>
          <w:szCs w:val="24"/>
        </w:rPr>
        <w:t>深圳市深水水务咨询有限公司：</w:t>
      </w:r>
    </w:p>
    <w:p>
      <w:pPr>
        <w:widowControl/>
        <w:shd w:val="clear" w:color="auto" w:fill="FFFFFF"/>
        <w:spacing w:line="360" w:lineRule="auto"/>
        <w:ind w:firstLine="420" w:firstLineChars="200"/>
        <w:rPr>
          <w:rFonts w:ascii="宋体" w:hAnsi="Times New Roman" w:eastAsia="宋体" w:cs="宋体"/>
          <w:kern w:val="0"/>
          <w:szCs w:val="21"/>
        </w:rPr>
      </w:pPr>
      <w:r>
        <w:rPr>
          <w:rFonts w:hint="eastAsia" w:ascii="宋体" w:hAnsi="Times New Roman" w:eastAsia="宋体" w:cs="宋体"/>
          <w:kern w:val="0"/>
          <w:szCs w:val="24"/>
        </w:rPr>
        <w:t>本公司</w:t>
      </w:r>
      <w:r>
        <w:rPr>
          <w:rFonts w:hint="eastAsia" w:ascii="宋体" w:hAnsi="Times New Roman" w:eastAsia="宋体" w:cs="宋体"/>
          <w:kern w:val="0"/>
          <w:szCs w:val="24"/>
          <w:u w:val="single"/>
        </w:rPr>
        <w:t>(投标供应商名称)</w:t>
      </w:r>
      <w:r>
        <w:rPr>
          <w:rFonts w:hint="eastAsia" w:ascii="宋体" w:hAnsi="Times New Roman" w:eastAsia="宋体" w:cs="宋体"/>
          <w:kern w:val="0"/>
          <w:szCs w:val="24"/>
        </w:rPr>
        <w:t>在参加</w:t>
      </w:r>
      <w:r>
        <w:rPr>
          <w:rFonts w:hint="eastAsia" w:ascii="宋体" w:hAnsi="Times New Roman" w:eastAsia="宋体" w:cs="宋体"/>
          <w:kern w:val="0"/>
          <w:szCs w:val="24"/>
          <w:u w:val="single"/>
        </w:rPr>
        <w:t>（项目名称）</w:t>
      </w:r>
      <w:r>
        <w:rPr>
          <w:rFonts w:hint="eastAsia" w:ascii="宋体" w:hAnsi="Times New Roman" w:eastAsia="宋体" w:cs="宋体"/>
          <w:kern w:val="0"/>
          <w:szCs w:val="24"/>
        </w:rPr>
        <w:t>(项目编号：</w:t>
      </w:r>
      <w:r>
        <w:rPr>
          <w:rFonts w:hint="eastAsia" w:ascii="宋体" w:hAnsi="Times New Roman" w:eastAsia="宋体" w:cs="宋体"/>
          <w:kern w:val="0"/>
          <w:szCs w:val="24"/>
          <w:u w:val="single"/>
        </w:rPr>
        <w:t>（项目编号）</w:t>
      </w:r>
      <w:r>
        <w:rPr>
          <w:rFonts w:hint="eastAsia" w:ascii="宋体" w:hAnsi="Times New Roman" w:eastAsia="宋体" w:cs="宋体"/>
          <w:kern w:val="0"/>
          <w:szCs w:val="24"/>
        </w:rPr>
        <w:t>)的招标中如获中标</w:t>
      </w:r>
      <w:r>
        <w:rPr>
          <w:rFonts w:hint="eastAsia" w:ascii="宋体" w:hAnsi="Times New Roman" w:eastAsia="宋体" w:cs="宋体"/>
          <w:kern w:val="0"/>
          <w:szCs w:val="21"/>
        </w:rPr>
        <w:t>，我公司保证按照招标文件</w:t>
      </w:r>
      <w:r>
        <w:rPr>
          <w:rFonts w:hint="eastAsia" w:ascii="宋体" w:hAnsi="Times New Roman" w:eastAsia="宋体" w:cs="宋体"/>
          <w:kern w:val="0"/>
          <w:szCs w:val="24"/>
        </w:rPr>
        <w:t>的</w:t>
      </w:r>
      <w:r>
        <w:rPr>
          <w:rFonts w:hint="eastAsia" w:ascii="宋体" w:hAnsi="Times New Roman" w:eastAsia="宋体" w:cs="宋体"/>
          <w:kern w:val="0"/>
          <w:szCs w:val="21"/>
        </w:rPr>
        <w:t>规定缴纳“招标代理服务费”后，凭领取人身份证复印件并加盖公章领取《中标通知书》。如采用电汇或银行转账，我</w:t>
      </w:r>
      <w:r>
        <w:rPr>
          <w:rFonts w:hint="eastAsia" w:ascii="宋体" w:hAnsi="Times New Roman" w:eastAsia="宋体" w:cs="宋体"/>
          <w:kern w:val="0"/>
          <w:szCs w:val="24"/>
        </w:rPr>
        <w:t>公</w:t>
      </w:r>
      <w:r>
        <w:rPr>
          <w:rFonts w:hint="eastAsia" w:ascii="宋体" w:hAnsi="Times New Roman" w:eastAsia="宋体" w:cs="宋体"/>
          <w:kern w:val="0"/>
          <w:szCs w:val="21"/>
        </w:rPr>
        <w:t>司将同时递交招标代理服务费缴费凭证复印件并加盖公章。</w:t>
      </w:r>
    </w:p>
    <w:p>
      <w:pPr>
        <w:widowControl/>
        <w:shd w:val="clear" w:color="auto" w:fill="FFFFFF"/>
        <w:spacing w:line="36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如我公司违反上款承诺，愿凭贵公司开出的相关通知，同意（采购代理机构名称）办理支付手续，愿承担由此引起的一切法律责任。</w:t>
      </w:r>
    </w:p>
    <w:p>
      <w:pPr>
        <w:widowControl/>
        <w:shd w:val="clear" w:color="auto" w:fill="FFFFFF"/>
        <w:spacing w:line="360" w:lineRule="auto"/>
        <w:ind w:firstLine="420" w:firstLineChars="200"/>
        <w:rPr>
          <w:rFonts w:ascii="宋体" w:hAnsi="Times New Roman" w:eastAsia="宋体" w:cs="宋体"/>
          <w:kern w:val="0"/>
          <w:szCs w:val="24"/>
        </w:rPr>
      </w:pPr>
      <w:r>
        <w:rPr>
          <w:rFonts w:hint="eastAsia" w:ascii="宋体" w:hAnsi="Times New Roman" w:eastAsia="宋体" w:cs="宋体"/>
          <w:kern w:val="0"/>
          <w:szCs w:val="24"/>
        </w:rPr>
        <w:t>特此承诺!</w:t>
      </w:r>
    </w:p>
    <w:p>
      <w:pPr>
        <w:widowControl/>
        <w:shd w:val="clear" w:color="auto" w:fill="FFFFFF"/>
        <w:spacing w:line="360" w:lineRule="auto"/>
        <w:ind w:firstLine="420" w:firstLineChars="200"/>
        <w:rPr>
          <w:rFonts w:ascii="宋体" w:hAnsi="Times New Roman" w:eastAsia="宋体" w:cs="宋体"/>
          <w:kern w:val="0"/>
          <w:szCs w:val="24"/>
        </w:rPr>
      </w:pPr>
    </w:p>
    <w:p>
      <w:pPr>
        <w:widowControl/>
        <w:shd w:val="clear" w:color="auto" w:fill="FFFFFF"/>
        <w:spacing w:line="360" w:lineRule="auto"/>
        <w:ind w:firstLine="420" w:firstLineChars="200"/>
        <w:rPr>
          <w:rFonts w:ascii="宋体" w:hAnsi="Times New Roman" w:eastAsia="宋体" w:cs="宋体"/>
          <w:kern w:val="0"/>
          <w:szCs w:val="24"/>
        </w:rPr>
      </w:pP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单位名称：</w:t>
      </w:r>
      <w:r>
        <w:rPr>
          <w:rFonts w:hint="eastAsia" w:ascii="宋体" w:hAnsi="Times New Roman" w:eastAsia="宋体" w:cs="宋体"/>
          <w:kern w:val="0"/>
          <w:szCs w:val="24"/>
          <w:u w:val="single"/>
        </w:rPr>
        <w:t>_____________________________________________________________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法定代表人或投标供应商授权代表（签名或盖章）：</w:t>
      </w:r>
      <w:r>
        <w:rPr>
          <w:rFonts w:hint="eastAsia" w:ascii="宋体" w:hAnsi="Times New Roman" w:eastAsia="宋体" w:cs="宋体"/>
          <w:kern w:val="0"/>
          <w:szCs w:val="24"/>
          <w:u w:val="single"/>
        </w:rPr>
        <w:t>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单位地址：</w:t>
      </w:r>
      <w:r>
        <w:rPr>
          <w:rFonts w:hint="eastAsia" w:ascii="宋体" w:hAnsi="Times New Roman" w:eastAsia="宋体" w:cs="宋体"/>
          <w:kern w:val="0"/>
          <w:szCs w:val="24"/>
          <w:u w:val="single"/>
        </w:rPr>
        <w:t>_____________________________________________________________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单位公章：</w:t>
      </w:r>
      <w:r>
        <w:rPr>
          <w:rFonts w:hint="eastAsia" w:ascii="宋体" w:hAnsi="Times New Roman" w:eastAsia="宋体" w:cs="宋体"/>
          <w:kern w:val="0"/>
          <w:szCs w:val="24"/>
          <w:u w:val="single"/>
        </w:rPr>
        <w:t>_____________________________________________________________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邮政编码：</w:t>
      </w:r>
      <w:r>
        <w:rPr>
          <w:rFonts w:hint="eastAsia" w:ascii="宋体" w:hAnsi="Times New Roman" w:eastAsia="宋体" w:cs="宋体"/>
          <w:kern w:val="0"/>
          <w:szCs w:val="24"/>
          <w:u w:val="single"/>
        </w:rPr>
        <w:t>_______________________</w:t>
      </w:r>
      <w:r>
        <w:rPr>
          <w:rFonts w:hint="eastAsia" w:ascii="宋体" w:hAnsi="Times New Roman" w:eastAsia="宋体" w:cs="宋体"/>
          <w:kern w:val="0"/>
          <w:szCs w:val="24"/>
        </w:rPr>
        <w:t>日期：</w:t>
      </w:r>
      <w:r>
        <w:rPr>
          <w:rFonts w:hint="eastAsia" w:ascii="宋体" w:hAnsi="Times New Roman" w:eastAsia="宋体" w:cs="宋体"/>
          <w:kern w:val="0"/>
          <w:szCs w:val="24"/>
          <w:u w:val="single"/>
        </w:rPr>
        <w:t>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r>
        <w:rPr>
          <w:rFonts w:hint="eastAsia" w:ascii="宋体" w:hAnsi="Times New Roman" w:eastAsia="宋体" w:cs="宋体"/>
          <w:kern w:val="0"/>
          <w:szCs w:val="24"/>
        </w:rPr>
        <w:t>联系电话：</w:t>
      </w:r>
      <w:r>
        <w:rPr>
          <w:rFonts w:hint="eastAsia" w:ascii="宋体" w:hAnsi="Times New Roman" w:eastAsia="宋体" w:cs="宋体"/>
          <w:kern w:val="0"/>
          <w:szCs w:val="24"/>
          <w:u w:val="single"/>
        </w:rPr>
        <w:t>_____________________________________________________________</w:t>
      </w:r>
    </w:p>
    <w:p>
      <w:pPr>
        <w:widowControl/>
        <w:shd w:val="clear" w:color="auto" w:fill="FFFFFF"/>
        <w:adjustRightInd w:val="0"/>
        <w:snapToGrid w:val="0"/>
        <w:spacing w:line="360" w:lineRule="auto"/>
        <w:ind w:firstLine="420"/>
        <w:rPr>
          <w:rFonts w:ascii="宋体" w:hAnsi="Times New Roman" w:eastAsia="宋体" w:cs="宋体"/>
          <w:kern w:val="0"/>
          <w:szCs w:val="24"/>
          <w:u w:val="single"/>
        </w:rPr>
      </w:pPr>
    </w:p>
    <w:p>
      <w:pPr>
        <w:widowControl/>
        <w:shd w:val="clear" w:color="auto" w:fill="FFFFFF"/>
        <w:adjustRightInd w:val="0"/>
        <w:snapToGrid w:val="0"/>
        <w:spacing w:line="360" w:lineRule="auto"/>
        <w:ind w:firstLine="436"/>
        <w:rPr>
          <w:rFonts w:ascii="宋体" w:hAnsi="Times New Roman" w:eastAsia="宋体" w:cs="宋体"/>
          <w:spacing w:val="4"/>
          <w:kern w:val="0"/>
          <w:szCs w:val="24"/>
          <w:u w:val="single"/>
        </w:rPr>
      </w:pPr>
    </w:p>
    <w:p>
      <w:pPr>
        <w:widowControl/>
        <w:shd w:val="clear" w:color="auto" w:fill="FFFFFF"/>
        <w:adjustRightInd w:val="0"/>
        <w:snapToGrid w:val="0"/>
        <w:spacing w:line="360" w:lineRule="auto"/>
        <w:ind w:firstLine="422"/>
        <w:rPr>
          <w:rFonts w:ascii="宋体" w:hAnsi="Times New Roman" w:eastAsia="宋体" w:cs="宋体"/>
          <w:b/>
          <w:kern w:val="0"/>
          <w:szCs w:val="21"/>
        </w:rPr>
      </w:pPr>
      <w:r>
        <w:rPr>
          <w:rFonts w:ascii="宋体" w:hAnsi="Times New Roman" w:eastAsia="宋体" w:cs="宋体"/>
          <w:b/>
          <w:kern w:val="0"/>
          <w:szCs w:val="24"/>
        </w:rPr>
        <w:br w:type="page"/>
      </w:r>
    </w:p>
    <w:p>
      <w:pPr>
        <w:spacing w:line="300" w:lineRule="auto"/>
        <w:ind w:firstLine="640"/>
        <w:jc w:val="center"/>
        <w:rPr>
          <w:rFonts w:ascii="宋体" w:hAnsi="Times New Roman" w:eastAsia="宋体" w:cs="Times New Roman"/>
          <w:bCs/>
          <w:sz w:val="32"/>
          <w:szCs w:val="32"/>
        </w:rPr>
      </w:pPr>
    </w:p>
    <w:p>
      <w:pPr>
        <w:spacing w:line="300" w:lineRule="auto"/>
        <w:ind w:firstLine="640"/>
        <w:jc w:val="center"/>
        <w:rPr>
          <w:rFonts w:ascii="宋体" w:hAnsi="Times New Roman" w:eastAsia="宋体" w:cs="Times New Roman"/>
          <w:bCs/>
          <w:sz w:val="32"/>
          <w:szCs w:val="32"/>
        </w:rPr>
      </w:pPr>
      <w:r>
        <w:rPr>
          <w:rFonts w:hint="eastAsia" w:ascii="宋体" w:hAnsi="Times New Roman" w:eastAsia="宋体" w:cs="Times New Roman"/>
          <w:bCs/>
          <w:sz w:val="32"/>
          <w:szCs w:val="32"/>
        </w:rPr>
        <w:t>招标代理服务费发票开具须知</w:t>
      </w:r>
    </w:p>
    <w:tbl>
      <w:tblPr>
        <w:tblStyle w:val="8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widowControl/>
              <w:shd w:val="clear" w:color="auto" w:fill="FFFFFF"/>
              <w:adjustRightInd w:val="0"/>
              <w:snapToGrid w:val="0"/>
              <w:spacing w:line="520" w:lineRule="exact"/>
              <w:ind w:firstLine="422"/>
              <w:rPr>
                <w:rFonts w:ascii="宋体" w:hAnsi="Times New Roman" w:eastAsia="宋体" w:cs="宋体"/>
                <w:b/>
                <w:kern w:val="0"/>
                <w:szCs w:val="24"/>
              </w:rPr>
            </w:pPr>
            <w:r>
              <w:rPr>
                <w:rFonts w:hint="eastAsia" w:ascii="宋体" w:hAnsi="Times New Roman" w:eastAsia="宋体" w:cs="宋体"/>
                <w:b/>
                <w:kern w:val="0"/>
                <w:szCs w:val="24"/>
              </w:rPr>
              <w:t>发票类型</w:t>
            </w:r>
          </w:p>
        </w:tc>
        <w:tc>
          <w:tcPr>
            <w:tcW w:w="7363" w:type="dxa"/>
            <w:vAlign w:val="center"/>
          </w:tcPr>
          <w:p>
            <w:pPr>
              <w:widowControl/>
              <w:shd w:val="clear" w:color="auto" w:fill="FFFFFF"/>
              <w:adjustRightInd w:val="0"/>
              <w:snapToGrid w:val="0"/>
              <w:spacing w:line="520" w:lineRule="exact"/>
              <w:ind w:firstLine="420" w:firstLineChars="200"/>
              <w:rPr>
                <w:rFonts w:ascii="宋体" w:hAnsi="Times New Roman" w:eastAsia="宋体" w:cs="宋体"/>
                <w:kern w:val="0"/>
                <w:szCs w:val="24"/>
              </w:rPr>
            </w:pPr>
            <w:r>
              <w:rPr>
                <w:rFonts w:hint="eastAsia" w:ascii="宋体" w:hAnsi="Times New Roman" w:eastAsia="宋体" w:cs="宋体"/>
                <w:kern w:val="0"/>
                <w:szCs w:val="24"/>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widowControl/>
              <w:shd w:val="clear" w:color="auto" w:fill="FFFFFF"/>
              <w:adjustRightInd w:val="0"/>
              <w:snapToGrid w:val="0"/>
              <w:spacing w:line="520" w:lineRule="exact"/>
              <w:rPr>
                <w:rFonts w:ascii="宋体" w:hAnsi="Times New Roman" w:eastAsia="宋体" w:cs="宋体"/>
                <w:kern w:val="0"/>
                <w:szCs w:val="24"/>
              </w:rPr>
            </w:pPr>
            <w:r>
              <w:rPr>
                <w:rFonts w:hint="eastAsia" w:ascii="宋体" w:hAnsi="Times New Roman" w:eastAsia="宋体" w:cs="宋体"/>
                <w:kern w:val="0"/>
                <w:szCs w:val="24"/>
              </w:rPr>
              <w:t>如选择增值税专用发票，需提供以下材料，投标时密封于开标信封中：</w:t>
            </w:r>
          </w:p>
          <w:p>
            <w:pPr>
              <w:widowControl/>
              <w:shd w:val="clear" w:color="auto" w:fill="FFFFFF"/>
              <w:adjustRightInd w:val="0"/>
              <w:snapToGrid w:val="0"/>
              <w:spacing w:line="520" w:lineRule="exact"/>
              <w:rPr>
                <w:rFonts w:ascii="宋体" w:hAnsi="Times New Roman" w:eastAsia="宋体" w:cs="宋体"/>
                <w:kern w:val="0"/>
                <w:szCs w:val="24"/>
              </w:rPr>
            </w:pPr>
            <w:r>
              <w:rPr>
                <w:rFonts w:hint="eastAsia" w:ascii="宋体" w:hAnsi="Times New Roman" w:eastAsia="宋体" w:cs="宋体"/>
                <w:kern w:val="0"/>
                <w:szCs w:val="24"/>
              </w:rPr>
              <w:t xml:space="preserve">1.营业执照、一般纳税人资格认定税务通知书或其他可证明具有该项资格证明文件的复印件，加盖单位公章； </w:t>
            </w:r>
          </w:p>
          <w:p>
            <w:pPr>
              <w:widowControl/>
              <w:shd w:val="clear" w:color="auto" w:fill="FFFFFF"/>
              <w:adjustRightInd w:val="0"/>
              <w:snapToGrid w:val="0"/>
              <w:spacing w:line="520" w:lineRule="exact"/>
              <w:rPr>
                <w:rFonts w:ascii="宋体" w:hAnsi="Times New Roman" w:eastAsia="宋体" w:cs="宋体"/>
                <w:kern w:val="0"/>
                <w:szCs w:val="24"/>
              </w:rPr>
            </w:pPr>
            <w:r>
              <w:rPr>
                <w:rFonts w:hint="eastAsia" w:ascii="宋体" w:hAnsi="Times New Roman" w:eastAsia="宋体" w:cs="宋体"/>
                <w:kern w:val="0"/>
                <w:szCs w:val="24"/>
              </w:rPr>
              <w:t>2.客户的开票资料（单位名称、纳税人识别号、地址、电话、开户行全称及账号</w:t>
            </w:r>
            <w:r>
              <w:rPr>
                <w:rFonts w:ascii="宋体" w:hAnsi="Times New Roman" w:eastAsia="宋体" w:cs="宋体"/>
                <w:kern w:val="0"/>
                <w:szCs w:val="24"/>
              </w:rPr>
              <w:t>）</w:t>
            </w:r>
            <w:r>
              <w:rPr>
                <w:rFonts w:hint="eastAsia" w:ascii="宋体" w:hAnsi="Times New Roman" w:eastAsia="宋体" w:cs="宋体"/>
                <w:kern w:val="0"/>
                <w:szCs w:val="24"/>
              </w:rPr>
              <w:t>，加盖单位公章。</w:t>
            </w:r>
          </w:p>
        </w:tc>
      </w:tr>
    </w:tbl>
    <w:p>
      <w:pPr>
        <w:widowControl/>
        <w:shd w:val="clear" w:color="auto" w:fill="FFFFFF"/>
        <w:adjustRightInd w:val="0"/>
        <w:snapToGrid w:val="0"/>
        <w:spacing w:line="360" w:lineRule="auto"/>
        <w:ind w:firstLine="422"/>
        <w:rPr>
          <w:rFonts w:ascii="宋体" w:hAnsi="Times New Roman" w:eastAsia="宋体" w:cs="宋体"/>
          <w:b/>
          <w:kern w:val="0"/>
          <w:szCs w:val="21"/>
        </w:rPr>
      </w:pPr>
    </w:p>
    <w:p>
      <w:pPr>
        <w:widowControl/>
        <w:shd w:val="clear" w:color="auto" w:fill="FFFFFF"/>
        <w:adjustRightInd w:val="0"/>
        <w:snapToGrid w:val="0"/>
        <w:spacing w:line="360" w:lineRule="auto"/>
        <w:ind w:firstLine="422"/>
        <w:rPr>
          <w:rFonts w:ascii="宋体" w:hAnsi="Times New Roman" w:eastAsia="宋体" w:cs="宋体"/>
          <w:b/>
          <w:kern w:val="0"/>
          <w:szCs w:val="21"/>
        </w:rPr>
      </w:pPr>
    </w:p>
    <w:p>
      <w:pPr>
        <w:widowControl/>
        <w:shd w:val="clear" w:color="auto" w:fill="FFFFFF"/>
        <w:adjustRightInd w:val="0"/>
        <w:snapToGrid w:val="0"/>
        <w:spacing w:line="360" w:lineRule="auto"/>
        <w:ind w:firstLine="422"/>
        <w:jc w:val="center"/>
        <w:rPr>
          <w:rFonts w:ascii="宋体" w:hAnsi="Times New Roman" w:eastAsia="宋体" w:cs="宋体"/>
          <w:b/>
          <w:kern w:val="0"/>
          <w:szCs w:val="21"/>
        </w:rPr>
      </w:pPr>
      <w:r>
        <w:rPr>
          <w:rFonts w:hint="eastAsia" w:ascii="宋体" w:hAnsi="Times New Roman" w:eastAsia="宋体" w:cs="宋体"/>
          <w:b/>
          <w:kern w:val="0"/>
          <w:szCs w:val="21"/>
        </w:rPr>
        <w:t>附：缴纳</w:t>
      </w:r>
      <w:r>
        <w:rPr>
          <w:rFonts w:ascii="宋体" w:hAnsi="Times New Roman" w:eastAsia="宋体" w:cs="宋体"/>
          <w:b/>
          <w:kern w:val="0"/>
          <w:szCs w:val="21"/>
        </w:rPr>
        <w:t>招标代理服务费</w:t>
      </w:r>
      <w:r>
        <w:rPr>
          <w:rFonts w:hint="eastAsia" w:ascii="宋体" w:hAnsi="Times New Roman" w:eastAsia="宋体" w:cs="宋体"/>
          <w:b/>
          <w:kern w:val="0"/>
          <w:szCs w:val="21"/>
        </w:rPr>
        <w:t>账号</w:t>
      </w:r>
      <w:r>
        <w:rPr>
          <w:rFonts w:ascii="宋体" w:hAnsi="Times New Roman" w:eastAsia="宋体" w:cs="宋体"/>
          <w:b/>
          <w:kern w:val="0"/>
          <w:szCs w:val="21"/>
        </w:rPr>
        <w:t>：</w:t>
      </w:r>
    </w:p>
    <w:tbl>
      <w:tblPr>
        <w:tblStyle w:val="8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widowControl/>
              <w:shd w:val="clear" w:color="auto" w:fill="FFFFFF"/>
              <w:adjustRightInd w:val="0"/>
              <w:snapToGrid w:val="0"/>
              <w:spacing w:line="360" w:lineRule="auto"/>
              <w:ind w:firstLine="422"/>
              <w:jc w:val="center"/>
              <w:rPr>
                <w:rFonts w:ascii="宋体" w:hAnsi="Times New Roman" w:eastAsia="宋体" w:cs="宋体"/>
                <w:b/>
                <w:kern w:val="0"/>
                <w:szCs w:val="21"/>
              </w:rPr>
            </w:pPr>
            <w:r>
              <w:rPr>
                <w:rFonts w:ascii="宋体" w:hAnsi="Times New Roman" w:eastAsia="宋体" w:cs="宋体"/>
                <w:b/>
                <w:kern w:val="0"/>
                <w:szCs w:val="21"/>
              </w:rPr>
              <w:t>收款人名称</w:t>
            </w:r>
          </w:p>
        </w:tc>
        <w:tc>
          <w:tcPr>
            <w:tcW w:w="5579" w:type="dxa"/>
            <w:vAlign w:val="center"/>
          </w:tcPr>
          <w:p>
            <w:pPr>
              <w:widowControl/>
              <w:shd w:val="clear" w:color="auto" w:fill="FFFFFF"/>
              <w:adjustRightInd w:val="0"/>
              <w:snapToGrid w:val="0"/>
              <w:spacing w:line="360" w:lineRule="auto"/>
              <w:jc w:val="center"/>
              <w:rPr>
                <w:rFonts w:ascii="宋体" w:hAnsi="Times New Roman" w:eastAsia="宋体" w:cs="宋体"/>
                <w:kern w:val="0"/>
                <w:szCs w:val="21"/>
              </w:rPr>
            </w:pPr>
            <w:r>
              <w:rPr>
                <w:rFonts w:hint="eastAsia" w:ascii="宋体" w:hAnsi="Times New Roman" w:eastAsia="宋体" w:cs="宋体"/>
                <w:kern w:val="0"/>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widowControl/>
              <w:shd w:val="clear" w:color="auto" w:fill="FFFFFF"/>
              <w:adjustRightInd w:val="0"/>
              <w:snapToGrid w:val="0"/>
              <w:spacing w:line="360" w:lineRule="auto"/>
              <w:ind w:firstLine="422"/>
              <w:jc w:val="center"/>
              <w:rPr>
                <w:rFonts w:ascii="宋体" w:hAnsi="Times New Roman" w:eastAsia="宋体" w:cs="宋体"/>
                <w:b/>
                <w:kern w:val="0"/>
                <w:szCs w:val="21"/>
              </w:rPr>
            </w:pPr>
            <w:r>
              <w:rPr>
                <w:rFonts w:ascii="宋体" w:hAnsi="Times New Roman" w:eastAsia="宋体" w:cs="宋体"/>
                <w:b/>
                <w:kern w:val="0"/>
                <w:szCs w:val="21"/>
              </w:rPr>
              <w:t>开户银行</w:t>
            </w:r>
          </w:p>
        </w:tc>
        <w:tc>
          <w:tcPr>
            <w:tcW w:w="5579" w:type="dxa"/>
            <w:vAlign w:val="center"/>
          </w:tcPr>
          <w:p>
            <w:pPr>
              <w:widowControl/>
              <w:shd w:val="clear" w:color="auto" w:fill="FFFFFF"/>
              <w:adjustRightInd w:val="0"/>
              <w:snapToGrid w:val="0"/>
              <w:spacing w:line="360" w:lineRule="auto"/>
              <w:jc w:val="center"/>
              <w:rPr>
                <w:rFonts w:ascii="宋体" w:hAnsi="Times New Roman" w:eastAsia="宋体" w:cs="宋体"/>
                <w:b/>
                <w:szCs w:val="21"/>
              </w:rPr>
            </w:pPr>
            <w:r>
              <w:rPr>
                <w:rFonts w:hint="eastAsia" w:ascii="宋体" w:hAnsi="Times New Roman" w:eastAsia="宋体" w:cs="宋体"/>
                <w:kern w:val="0"/>
                <w:szCs w:val="24"/>
              </w:rPr>
              <w:t>交通银行深圳金叶支行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widowControl/>
              <w:shd w:val="clear" w:color="auto" w:fill="FFFFFF"/>
              <w:adjustRightInd w:val="0"/>
              <w:snapToGrid w:val="0"/>
              <w:spacing w:line="360" w:lineRule="auto"/>
              <w:ind w:firstLine="422"/>
              <w:jc w:val="center"/>
              <w:rPr>
                <w:rFonts w:ascii="宋体" w:hAnsi="Times New Roman" w:eastAsia="宋体" w:cs="宋体"/>
                <w:b/>
                <w:szCs w:val="21"/>
              </w:rPr>
            </w:pPr>
            <w:r>
              <w:rPr>
                <w:rFonts w:hint="eastAsia" w:ascii="宋体" w:hAnsi="Times New Roman" w:eastAsia="宋体" w:cs="宋体"/>
                <w:b/>
                <w:kern w:val="0"/>
                <w:szCs w:val="21"/>
              </w:rPr>
              <w:t>账</w:t>
            </w:r>
            <w:r>
              <w:rPr>
                <w:rFonts w:ascii="宋体" w:hAnsi="Times New Roman" w:eastAsia="宋体" w:cs="宋体"/>
                <w:b/>
                <w:kern w:val="0"/>
                <w:szCs w:val="21"/>
              </w:rPr>
              <w:t xml:space="preserve">    号</w:t>
            </w:r>
          </w:p>
        </w:tc>
        <w:tc>
          <w:tcPr>
            <w:tcW w:w="5579" w:type="dxa"/>
            <w:vAlign w:val="center"/>
          </w:tcPr>
          <w:p>
            <w:pPr>
              <w:widowControl/>
              <w:shd w:val="clear" w:color="auto" w:fill="FFFFFF"/>
              <w:spacing w:line="240" w:lineRule="exact"/>
              <w:jc w:val="center"/>
              <w:rPr>
                <w:rFonts w:ascii="宋体" w:hAnsi="Times New Roman" w:eastAsia="宋体" w:cs="宋体"/>
                <w:b/>
                <w:szCs w:val="21"/>
              </w:rPr>
            </w:pPr>
            <w:r>
              <w:rPr>
                <w:rFonts w:hint="eastAsia" w:ascii="宋体" w:hAnsi="Times New Roman" w:eastAsia="宋体" w:cs="宋体"/>
                <w:kern w:val="0"/>
                <w:szCs w:val="24"/>
              </w:rPr>
              <w:t>443899991010003343618</w:t>
            </w:r>
          </w:p>
        </w:tc>
      </w:tr>
    </w:tbl>
    <w:p>
      <w:pPr>
        <w:widowControl/>
        <w:shd w:val="clear" w:color="auto" w:fill="FFFFFF"/>
        <w:adjustRightInd w:val="0"/>
        <w:snapToGrid w:val="0"/>
        <w:spacing w:line="360" w:lineRule="auto"/>
        <w:ind w:firstLine="480"/>
        <w:rPr>
          <w:rFonts w:ascii="宋体" w:hAnsi="Times New Roman" w:eastAsia="宋体" w:cs="Arial"/>
          <w:bCs/>
          <w:kern w:val="0"/>
          <w:sz w:val="24"/>
          <w:szCs w:val="24"/>
        </w:rPr>
      </w:pPr>
    </w:p>
    <w:p>
      <w:pPr>
        <w:widowControl/>
        <w:shd w:val="clear" w:color="auto" w:fill="FFFFFF"/>
        <w:adjustRightInd w:val="0"/>
        <w:snapToGrid w:val="0"/>
        <w:spacing w:line="360" w:lineRule="auto"/>
        <w:ind w:firstLine="480"/>
        <w:rPr>
          <w:rFonts w:ascii="宋体" w:hAnsi="Times New Roman" w:eastAsia="宋体" w:cs="Arial"/>
          <w:bCs/>
          <w:kern w:val="0"/>
          <w:sz w:val="24"/>
          <w:szCs w:val="24"/>
        </w:rPr>
      </w:pPr>
    </w:p>
    <w:p>
      <w:pPr>
        <w:keepNext/>
        <w:keepLines/>
        <w:widowControl/>
        <w:numPr>
          <w:ilvl w:val="0"/>
          <w:numId w:val="46"/>
        </w:numPr>
        <w:shd w:val="clear" w:color="auto" w:fill="FFFFFF"/>
        <w:tabs>
          <w:tab w:val="left" w:pos="426"/>
        </w:tabs>
        <w:adjustRightInd w:val="0"/>
        <w:snapToGrid w:val="0"/>
        <w:spacing w:before="280" w:after="290" w:line="377" w:lineRule="auto"/>
        <w:ind w:firstLine="0"/>
        <w:jc w:val="left"/>
        <w:outlineLvl w:val="3"/>
        <w:rPr>
          <w:rFonts w:ascii="Arial" w:hAnsi="Arial" w:eastAsia="黑体" w:cs="Times New Roman"/>
          <w:b/>
          <w:bCs/>
          <w:sz w:val="28"/>
          <w:szCs w:val="28"/>
        </w:rPr>
      </w:pPr>
      <w:r>
        <w:rPr>
          <w:rFonts w:ascii="Arial" w:hAnsi="Arial" w:eastAsia="黑体" w:cs="Times New Roman"/>
          <w:b/>
          <w:bCs/>
          <w:sz w:val="24"/>
          <w:szCs w:val="28"/>
        </w:rPr>
        <w:br w:type="page"/>
      </w:r>
      <w:bookmarkEnd w:id="136"/>
      <w:bookmarkEnd w:id="137"/>
      <w:bookmarkEnd w:id="138"/>
      <w:bookmarkEnd w:id="139"/>
      <w:bookmarkStart w:id="141" w:name="_Toc528170834"/>
      <w:bookmarkStart w:id="142" w:name="_Toc36822702"/>
      <w:bookmarkStart w:id="143" w:name="_Toc528675207"/>
      <w:bookmarkStart w:id="144" w:name="_Toc518464390"/>
      <w:r>
        <w:rPr>
          <w:rFonts w:hint="eastAsia" w:ascii="Arial" w:hAnsi="Arial" w:eastAsia="黑体" w:cs="Times New Roman"/>
          <w:b/>
          <w:bCs/>
          <w:sz w:val="28"/>
          <w:szCs w:val="28"/>
        </w:rPr>
        <w:t>、招标文件要求的其他内容及投标供应商认为需要加以说明的其他内容</w:t>
      </w:r>
      <w:bookmarkEnd w:id="141"/>
      <w:bookmarkEnd w:id="142"/>
      <w:bookmarkEnd w:id="143"/>
      <w:bookmarkEnd w:id="144"/>
    </w:p>
    <w:p>
      <w:pPr>
        <w:widowControl/>
        <w:shd w:val="clear" w:color="auto" w:fill="FFFFFF"/>
        <w:adjustRightInd w:val="0"/>
        <w:snapToGrid w:val="0"/>
        <w:spacing w:line="360" w:lineRule="auto"/>
        <w:ind w:firstLine="424" w:firstLineChars="202"/>
        <w:rPr>
          <w:rFonts w:ascii="宋体" w:hAnsi="Times New Roman" w:eastAsia="宋体" w:cs="Arial"/>
          <w:bCs/>
          <w:kern w:val="0"/>
          <w:szCs w:val="21"/>
        </w:rPr>
      </w:pPr>
      <w:r>
        <w:rPr>
          <w:rFonts w:hint="eastAsia" w:ascii="宋体" w:hAnsi="Times New Roman" w:eastAsia="宋体" w:cs="Arial"/>
          <w:bCs/>
          <w:kern w:val="0"/>
          <w:szCs w:val="21"/>
        </w:rPr>
        <w:t>提供招标公告和评标信息中关于投标供应商的其他相关证明文件（如评标信息中涉及的各种证件（身份证除外）、设备发票等，未涉及的可以不提供）</w:t>
      </w:r>
    </w:p>
    <w:p>
      <w:pPr>
        <w:widowControl/>
        <w:shd w:val="clear" w:color="auto" w:fill="FFFFFF"/>
        <w:adjustRightInd w:val="0"/>
        <w:snapToGrid w:val="0"/>
        <w:spacing w:before="240" w:after="60" w:line="360" w:lineRule="auto"/>
        <w:ind w:firstLine="723"/>
        <w:jc w:val="center"/>
        <w:outlineLvl w:val="0"/>
        <w:rPr>
          <w:rFonts w:ascii="Arial" w:hAnsi="Arial" w:eastAsia="宋体" w:cs="Times New Roman"/>
          <w:b/>
          <w:bCs/>
          <w:sz w:val="36"/>
          <w:szCs w:val="32"/>
        </w:rPr>
      </w:pPr>
      <w:r>
        <w:rPr>
          <w:rFonts w:ascii="Arial" w:hAnsi="Arial" w:eastAsia="宋体" w:cs="Times New Roman"/>
          <w:b/>
          <w:bCs/>
          <w:sz w:val="36"/>
          <w:szCs w:val="32"/>
        </w:rPr>
        <w:br w:type="page"/>
      </w:r>
      <w:bookmarkStart w:id="145" w:name="_Toc167352563"/>
      <w:bookmarkStart w:id="146" w:name="_Toc530152521"/>
      <w:bookmarkStart w:id="147" w:name="_Toc14427253"/>
      <w:r>
        <w:rPr>
          <w:rFonts w:hint="eastAsia" w:ascii="Arial" w:hAnsi="Arial" w:eastAsia="宋体" w:cs="Times New Roman"/>
          <w:b/>
          <w:bCs/>
          <w:sz w:val="36"/>
          <w:szCs w:val="32"/>
        </w:rPr>
        <w:t xml:space="preserve">第二册 </w:t>
      </w:r>
      <w:r>
        <w:rPr>
          <w:rFonts w:ascii="Arial" w:hAnsi="Arial" w:eastAsia="宋体" w:cs="Times New Roman"/>
          <w:b/>
          <w:bCs/>
          <w:sz w:val="36"/>
          <w:szCs w:val="32"/>
        </w:rPr>
        <w:t xml:space="preserve"> </w:t>
      </w:r>
      <w:r>
        <w:rPr>
          <w:rFonts w:hint="eastAsia" w:ascii="Arial" w:hAnsi="Arial" w:eastAsia="宋体" w:cs="Times New Roman"/>
          <w:b/>
          <w:bCs/>
          <w:sz w:val="36"/>
          <w:szCs w:val="32"/>
        </w:rPr>
        <w:t>通用条款</w:t>
      </w:r>
      <w:bookmarkEnd w:id="145"/>
      <w:bookmarkEnd w:id="146"/>
      <w:bookmarkEnd w:id="147"/>
    </w:p>
    <w:p>
      <w:pPr>
        <w:widowControl/>
        <w:shd w:val="clear" w:color="auto" w:fill="FFFFFF"/>
        <w:tabs>
          <w:tab w:val="left" w:pos="426"/>
        </w:tabs>
        <w:adjustRightInd w:val="0"/>
        <w:snapToGrid w:val="0"/>
        <w:spacing w:line="360" w:lineRule="auto"/>
        <w:ind w:firstLine="422"/>
        <w:jc w:val="center"/>
        <w:rPr>
          <w:rFonts w:ascii="宋体" w:hAnsi="Times New Roman" w:eastAsia="宋体" w:cs="宋体"/>
          <w:b/>
          <w:kern w:val="0"/>
          <w:szCs w:val="24"/>
        </w:rPr>
      </w:pPr>
      <w:r>
        <w:rPr>
          <w:rFonts w:hint="eastAsia" w:ascii="宋体" w:hAnsi="Times New Roman" w:eastAsia="宋体" w:cs="宋体"/>
          <w:b/>
          <w:kern w:val="0"/>
          <w:szCs w:val="24"/>
        </w:rPr>
        <w:t>（投标供应商须知）</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48" w:name="_Toc14427254"/>
      <w:bookmarkStart w:id="149" w:name="_Toc529280581"/>
      <w:bookmarkStart w:id="150" w:name="_Toc530152522"/>
      <w:bookmarkStart w:id="151" w:name="_Toc167352564"/>
      <w:r>
        <w:rPr>
          <w:rFonts w:hint="eastAsia" w:ascii="宋体" w:hAnsi="Times New Roman" w:eastAsia="宋体" w:cs="Times New Roman"/>
          <w:kern w:val="0"/>
          <w:szCs w:val="20"/>
        </w:rPr>
        <w:t>第一章 总则</w:t>
      </w:r>
      <w:bookmarkEnd w:id="148"/>
      <w:bookmarkEnd w:id="149"/>
      <w:bookmarkEnd w:id="150"/>
      <w:bookmarkEnd w:id="151"/>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1.通用条款说明</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1.1采购代理机构发出招标文件通用条款版本，列出采购项目进行招标采购所适用的通用条款内容。如有需要，采购代理机构可以对这些条款增加附录或补充内容。</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2</w:t>
      </w:r>
      <w:r>
        <w:rPr>
          <w:rFonts w:ascii="宋体" w:hAnsi="Times New Roman" w:eastAsia="宋体" w:cs="宋体"/>
          <w:kern w:val="0"/>
          <w:szCs w:val="24"/>
        </w:rPr>
        <w:t>．</w:t>
      </w:r>
      <w:r>
        <w:rPr>
          <w:rFonts w:hint="eastAsia" w:ascii="宋体" w:hAnsi="Times New Roman" w:eastAsia="宋体" w:cs="宋体"/>
          <w:kern w:val="0"/>
          <w:szCs w:val="24"/>
        </w:rPr>
        <w:t>招标说明</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4"/>
        </w:rPr>
        <w:t>本项目按照《中华人民共和国政府采购法》《中华人民共和国政府采购法实施条例》的规定，并参考有关法规、政策、规章、规定通过招标择优选定供应商。</w:t>
      </w:r>
      <w:r>
        <w:rPr>
          <w:rFonts w:hint="eastAsia" w:ascii="宋体" w:hAnsi="Times New Roman" w:eastAsia="宋体" w:cs="宋体"/>
          <w:kern w:val="0"/>
          <w:szCs w:val="21"/>
        </w:rPr>
        <w:t>本招标文件适用于招标公告中所述项目的政府采购。</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1"/>
        </w:rPr>
        <w:t>本招标文件的解释权归属深圳市深水水务咨询有限公司。</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3．定义</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招标文件中下列术语应解释为：</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1"/>
        </w:rPr>
        <w:t>3.1</w:t>
      </w:r>
      <w:r>
        <w:rPr>
          <w:rFonts w:hint="eastAsia" w:ascii="宋体" w:hAnsi="Times New Roman" w:eastAsia="宋体" w:cs="宋体"/>
          <w:kern w:val="0"/>
          <w:szCs w:val="21"/>
        </w:rPr>
        <w:t>“采购代理机构”</w:t>
      </w:r>
      <w:r>
        <w:rPr>
          <w:rFonts w:hint="eastAsia" w:ascii="宋体" w:hAnsi="Times New Roman" w:eastAsia="宋体" w:cs="宋体"/>
          <w:kern w:val="0"/>
          <w:szCs w:val="24"/>
        </w:rPr>
        <w:t>系指政府设立的负责本级财政性资金的集中采购和招标组织工作的专门机构；本项目</w:t>
      </w:r>
      <w:r>
        <w:rPr>
          <w:rFonts w:ascii="宋体" w:hAnsi="Times New Roman" w:eastAsia="宋体" w:cs="宋体"/>
          <w:kern w:val="0"/>
          <w:szCs w:val="24"/>
        </w:rPr>
        <w:t>系指</w:t>
      </w:r>
      <w:r>
        <w:rPr>
          <w:rFonts w:hint="eastAsia" w:ascii="宋体" w:hAnsi="Times New Roman" w:eastAsia="宋体" w:cs="宋体"/>
          <w:kern w:val="0"/>
          <w:szCs w:val="24"/>
        </w:rPr>
        <w:t>深圳市深水水务咨询有限公司；</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3.2“采购人”或“采购人”：系指利用财政性资金依法进行采购的国家机关、事业单位、团体组织； </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3.3“投标供应商”或“投标方”，即供应商，是指参加投标竞争并愿意按照招标文件要求向采购人提供货物、工程或者服务的依法成立的法人、其他组织或者自然人；</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3.4“评标委员会”和“谈判小组”是依据有关规定组建的专门负责本次招标其评标（谈判）工作的临时性机构；</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3.5“日期”指</w:t>
      </w:r>
      <w:r>
        <w:rPr>
          <w:rFonts w:hint="eastAsia" w:ascii="宋体" w:hAnsi="Times New Roman" w:eastAsia="宋体" w:cs="宋体"/>
          <w:kern w:val="0"/>
          <w:szCs w:val="24"/>
        </w:rPr>
        <w:t>公历日；</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3.6“合同”指由本次招标所产生的合同或合约文件；</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3.7招标文件中的标题或题名仅起引导作用，而不应视为对招标文件内容的理解和解释。</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4.</w:t>
      </w:r>
      <w:r>
        <w:rPr>
          <w:rFonts w:hint="eastAsia" w:ascii="宋体" w:hAnsi="Times New Roman" w:eastAsia="宋体" w:cs="宋体"/>
          <w:kern w:val="0"/>
          <w:szCs w:val="24"/>
        </w:rPr>
        <w:t>供应商责任</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4.1欢迎诚信、有实力和有社会责任心的供应商参与采购事业。</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5．合格的投标供应商</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5.1 </w:t>
      </w:r>
      <w:r>
        <w:rPr>
          <w:rFonts w:hint="eastAsia" w:ascii="宋体" w:hAnsi="Times New Roman" w:eastAsia="宋体" w:cs="宋体"/>
          <w:kern w:val="0"/>
          <w:szCs w:val="21"/>
        </w:rPr>
        <w:t>投标供应商是响应招标并且符合招标文件规定资格条件和参加投标竞争的法人、其他组织或者自然人。</w:t>
      </w:r>
    </w:p>
    <w:p>
      <w:pPr>
        <w:autoSpaceDE w:val="0"/>
        <w:autoSpaceDN w:val="0"/>
        <w:adjustRightInd w:val="0"/>
        <w:snapToGrid w:val="0"/>
        <w:spacing w:line="360" w:lineRule="auto"/>
        <w:rPr>
          <w:rFonts w:ascii="宋体" w:hAnsi="Times New Roman" w:eastAsia="宋体" w:cs="宋体"/>
          <w:kern w:val="0"/>
          <w:szCs w:val="21"/>
          <w:lang w:eastAsia="zh-TW"/>
        </w:rPr>
      </w:pPr>
      <w:r>
        <w:rPr>
          <w:rFonts w:ascii="宋体" w:hAnsi="Times New Roman" w:eastAsia="宋体" w:cs="宋体"/>
          <w:kern w:val="0"/>
          <w:szCs w:val="21"/>
        </w:rPr>
        <w:t xml:space="preserve">5.2 </w:t>
      </w:r>
      <w:r>
        <w:rPr>
          <w:rFonts w:hint="eastAsia" w:ascii="宋体" w:hAnsi="Times New Roman" w:eastAsia="宋体" w:cs="宋体"/>
          <w:kern w:val="0"/>
          <w:szCs w:val="21"/>
          <w:lang w:eastAsia="zh-TW"/>
        </w:rPr>
        <w:t>合格的投标供应商</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5.2.1 具有独立承担民事责任的能力。</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5.2.2 具有良好的商业信誉和健全的财务会计制度</w:t>
      </w:r>
      <w:r>
        <w:rPr>
          <w:rFonts w:hint="eastAsia" w:ascii="宋体" w:hAnsi="Times New Roman" w:eastAsia="宋体" w:cs="宋体"/>
          <w:kern w:val="0"/>
          <w:szCs w:val="21"/>
        </w:rPr>
        <w:t>。</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5.2.3 具有履行合同所必需的设备和专业技术能力</w:t>
      </w:r>
      <w:r>
        <w:rPr>
          <w:rFonts w:hint="eastAsia" w:ascii="宋体" w:hAnsi="Times New Roman" w:eastAsia="宋体" w:cs="宋体"/>
          <w:kern w:val="0"/>
          <w:szCs w:val="21"/>
        </w:rPr>
        <w:t>。</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5.2.4 有依法缴纳税收和社会保障资金的良好记录</w:t>
      </w:r>
      <w:r>
        <w:rPr>
          <w:rFonts w:hint="eastAsia" w:ascii="宋体" w:hAnsi="Times New Roman" w:eastAsia="宋体" w:cs="宋体"/>
          <w:kern w:val="0"/>
          <w:szCs w:val="21"/>
        </w:rPr>
        <w:t>。</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5.2.5 参加采购活动前三年内，在经营活动中没有重大违法记录</w:t>
      </w:r>
      <w:r>
        <w:rPr>
          <w:rFonts w:hint="eastAsia" w:ascii="宋体" w:hAnsi="Times New Roman" w:eastAsia="宋体" w:cs="宋体"/>
          <w:kern w:val="0"/>
          <w:szCs w:val="21"/>
        </w:rPr>
        <w:t>。</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5.2.6 法律、行政法规规定的其他条件</w:t>
      </w:r>
      <w:r>
        <w:rPr>
          <w:rFonts w:hint="eastAsia" w:ascii="宋体" w:hAnsi="Times New Roman" w:eastAsia="宋体" w:cs="宋体"/>
          <w:kern w:val="0"/>
          <w:szCs w:val="21"/>
        </w:rPr>
        <w:t>。</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5.2.7 </w:t>
      </w:r>
      <w:r>
        <w:rPr>
          <w:rFonts w:hint="eastAsia" w:ascii="宋体" w:hAnsi="Times New Roman" w:eastAsia="宋体" w:cs="宋体"/>
          <w:kern w:val="0"/>
          <w:szCs w:val="21"/>
        </w:rPr>
        <w:t>只有在法律上和财务上独立、合法运作并独立于采购人和代理机构的供货商才能参加投标。</w:t>
      </w:r>
    </w:p>
    <w:p>
      <w:pPr>
        <w:autoSpaceDE w:val="0"/>
        <w:autoSpaceDN w:val="0"/>
        <w:adjustRightInd w:val="0"/>
        <w:snapToGrid w:val="0"/>
        <w:spacing w:line="360" w:lineRule="auto"/>
        <w:rPr>
          <w:rFonts w:ascii="宋体" w:hAnsi="Times New Roman" w:eastAsia="宋体" w:cs="宋体"/>
          <w:b/>
          <w:kern w:val="0"/>
          <w:szCs w:val="21"/>
        </w:rPr>
      </w:pPr>
      <w:r>
        <w:rPr>
          <w:rFonts w:ascii="宋体" w:hAnsi="Times New Roman" w:eastAsia="宋体" w:cs="宋体"/>
          <w:kern w:val="0"/>
          <w:szCs w:val="21"/>
        </w:rPr>
        <w:t xml:space="preserve">5.2.8 </w:t>
      </w:r>
      <w:r>
        <w:rPr>
          <w:rFonts w:hint="eastAsia" w:ascii="宋体" w:hAnsi="Times New Roman" w:eastAsia="宋体" w:cs="宋体"/>
          <w:kern w:val="0"/>
          <w:szCs w:val="21"/>
        </w:rPr>
        <w:t>法定代表人或单位负责人为同一人或者存在直接控股、管理关系的不同单位不得同时参与同一个项目（包组）的竞争。</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5.2.9 </w:t>
      </w:r>
      <w:r>
        <w:rPr>
          <w:rFonts w:hint="eastAsia" w:ascii="宋体" w:hAnsi="Times New Roman" w:eastAsia="宋体" w:cs="宋体"/>
          <w:kern w:val="0"/>
          <w:szCs w:val="21"/>
        </w:rPr>
        <w:t>符合</w:t>
      </w:r>
      <w:r>
        <w:rPr>
          <w:rFonts w:hint="eastAsia" w:ascii="宋体" w:hAnsi="Times New Roman" w:eastAsia="宋体" w:cs="黑体"/>
          <w:kern w:val="0"/>
          <w:szCs w:val="21"/>
        </w:rPr>
        <w:t>第一章招标公告“投标供应商资格要求”</w:t>
      </w:r>
      <w:r>
        <w:rPr>
          <w:rFonts w:hint="eastAsia" w:ascii="宋体" w:hAnsi="Times New Roman" w:eastAsia="宋体" w:cs="宋体"/>
          <w:kern w:val="0"/>
          <w:szCs w:val="21"/>
        </w:rPr>
        <w:t>的条款</w:t>
      </w:r>
      <w:r>
        <w:rPr>
          <w:rFonts w:hint="eastAsia" w:ascii="宋体" w:hAnsi="Times New Roman" w:eastAsia="宋体" w:cs="黑体"/>
          <w:kern w:val="0"/>
          <w:szCs w:val="21"/>
        </w:rPr>
        <w:t>。</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5.3 </w:t>
      </w:r>
      <w:r>
        <w:rPr>
          <w:rFonts w:hint="eastAsia" w:ascii="宋体" w:hAnsi="Times New Roman" w:eastAsia="宋体" w:cs="宋体"/>
          <w:kern w:val="0"/>
          <w:szCs w:val="21"/>
        </w:rPr>
        <w:t>中标供应商是指经法定程序确定并授予合同的投标供应商。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6．联合体投标</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6.1　以下有关联合体投标的条款仅适用于允许投标供应商组成联合体投标的项目。</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6.2　由两个或两个以上的自然人、法人或者其他组织可以组成一个联合体，以一个供应商的身份共同投标时，应符合以下原则：</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6.2.</w:t>
      </w:r>
      <w:r>
        <w:rPr>
          <w:rFonts w:ascii="宋体" w:hAnsi="Times New Roman" w:eastAsia="宋体" w:cs="宋体"/>
          <w:bCs/>
          <w:kern w:val="0"/>
          <w:szCs w:val="24"/>
        </w:rPr>
        <w:t>1投标联合体应满足招标公告有关投标供应商资格要求中对联合体的要求；</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6.2.2对于招标公告中所要求投标供应商应具有的某一资质，若联合体各方均具有，则将以联合体各方中最低的资质等级作为联合体在这一资质条件上的资质等级；联合体各方的不同资质可优势互补。</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6.2.3投标供应商的投标文件及中标后签署的合同协议对联合体各方均具法律约束力；</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6.2.4联合体各方应当签订共同投标协议，明确约定各方拟承担的工作和责任，并将该共同投标协议随投标文件一并递交给代理机构；</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6.2.5联合体的各方应当共同推荐一联合体投标授权代表人，由联合体各方提交一份授权书，证明其有资格代表联合体各方签署投标文件，该授权书作为投标文件的组成部分一并提交给代理机构；</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6.2.7除非另有规定或说明，本须知中“投标供应商”一词亦指联合体各方。</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7. </w:t>
      </w:r>
      <w:r>
        <w:rPr>
          <w:rFonts w:hint="eastAsia" w:ascii="宋体" w:hAnsi="Times New Roman" w:eastAsia="宋体" w:cs="宋体"/>
          <w:kern w:val="0"/>
          <w:szCs w:val="24"/>
        </w:rPr>
        <w:t>合格的服务和货物</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7.1 </w:t>
      </w:r>
      <w:r>
        <w:rPr>
          <w:rFonts w:hint="eastAsia" w:ascii="宋体" w:hAnsi="Times New Roman" w:eastAsia="宋体" w:cs="宋体"/>
          <w:kern w:val="0"/>
          <w:szCs w:val="21"/>
        </w:rPr>
        <w:t>“服务”是指投标供应商按招标文件规定完成的全部服务内容，其中包括完成服务所需的货物，及须承担的技术支持、培训和其它伴随服务。</w:t>
      </w:r>
    </w:p>
    <w:p>
      <w:pPr>
        <w:autoSpaceDE w:val="0"/>
        <w:autoSpaceDN w:val="0"/>
        <w:adjustRightInd w:val="0"/>
        <w:snapToGrid w:val="0"/>
        <w:spacing w:line="360" w:lineRule="auto"/>
        <w:rPr>
          <w:rFonts w:ascii="宋体" w:hAnsi="Times New Roman" w:eastAsia="宋体" w:cs="黑体"/>
          <w:b/>
          <w:bCs/>
          <w:kern w:val="0"/>
          <w:szCs w:val="21"/>
        </w:rPr>
      </w:pPr>
      <w:r>
        <w:rPr>
          <w:rFonts w:ascii="宋体" w:hAnsi="Times New Roman" w:eastAsia="宋体" w:cs="宋体"/>
          <w:kern w:val="0"/>
          <w:szCs w:val="21"/>
        </w:rPr>
        <w:t xml:space="preserve">7.2 </w:t>
      </w:r>
      <w:r>
        <w:rPr>
          <w:rFonts w:hint="eastAsia" w:ascii="宋体" w:hAnsi="Times New Roman" w:eastAsia="宋体" w:cs="宋体"/>
          <w:kern w:val="0"/>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7.3 </w:t>
      </w:r>
      <w:r>
        <w:rPr>
          <w:rFonts w:hint="eastAsia" w:ascii="宋体" w:hAnsi="Times New Roman" w:eastAsia="宋体" w:cs="宋体"/>
          <w:kern w:val="0"/>
          <w:szCs w:val="21"/>
        </w:rPr>
        <w:t>投标供应商提供的所有服务，其质量、技术等特征必须符合国家、行业现行法律、法规的相关标准和《中华人民共和国政府采购法》的有关规定及用户需求。</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7.4 </w:t>
      </w:r>
      <w:r>
        <w:rPr>
          <w:rFonts w:hint="eastAsia" w:ascii="宋体" w:hAnsi="Times New Roman" w:eastAsia="宋体" w:cs="宋体"/>
          <w:kern w:val="0"/>
          <w:szCs w:val="21"/>
        </w:rPr>
        <w:t>采购人有权拒绝接受任何不合格的服务，由此产生的费用及相关后果均由供应商自行承担。</w:t>
      </w:r>
    </w:p>
    <w:p>
      <w:pPr>
        <w:autoSpaceDE w:val="0"/>
        <w:autoSpaceDN w:val="0"/>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7.5 </w:t>
      </w:r>
      <w:r>
        <w:rPr>
          <w:rFonts w:hint="eastAsia" w:ascii="宋体" w:hAnsi="Times New Roman" w:eastAsia="宋体" w:cs="宋体"/>
          <w:kern w:val="0"/>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8．投标费用</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不论投标结果如何，投标供应商应承担其编制投标文件与递交投标文件所涉及的一切费用。</w:t>
      </w:r>
      <w:r>
        <w:rPr>
          <w:rFonts w:hint="eastAsia" w:ascii="宋体" w:hAnsi="Times New Roman" w:eastAsia="宋体" w:cs="宋体"/>
          <w:kern w:val="0"/>
          <w:szCs w:val="21"/>
          <w:lang w:eastAsia="zh-TW"/>
        </w:rPr>
        <w:t>不论投标的结果如何</w:t>
      </w:r>
      <w:r>
        <w:rPr>
          <w:rFonts w:hint="eastAsia" w:ascii="宋体" w:hAnsi="Times New Roman" w:eastAsia="宋体" w:cs="宋体"/>
          <w:kern w:val="0"/>
          <w:szCs w:val="21"/>
        </w:rPr>
        <w:t>，</w:t>
      </w:r>
      <w:r>
        <w:rPr>
          <w:rFonts w:hint="eastAsia" w:ascii="宋体" w:hAnsi="Times New Roman" w:eastAsia="宋体" w:cs="宋体"/>
          <w:kern w:val="0"/>
          <w:szCs w:val="21"/>
          <w:lang w:eastAsia="zh-TW"/>
        </w:rPr>
        <w:t>招标采购人均无义务和责任承担这些费用</w:t>
      </w:r>
      <w:r>
        <w:rPr>
          <w:rFonts w:hint="eastAsia" w:ascii="宋体" w:hAnsi="Times New Roman" w:eastAsia="宋体" w:cs="宋体"/>
          <w:kern w:val="0"/>
          <w:szCs w:val="21"/>
        </w:rPr>
        <w:t>。</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9．踏勘现场</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9.1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9.2投标供应商及其人员经过采购人的允许，可以踏勘目的进入采购人的项目现场。若本项目招标文件要求投标供应商于统一时间地点踏勘现场的，投标供应商按时前往。</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9.3采购人必须通过采购代理机构向投标供应商提供有关现场的资料和数据。</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9.5 </w:t>
      </w:r>
      <w:r>
        <w:rPr>
          <w:rFonts w:hint="eastAsia" w:ascii="宋体" w:hAnsi="Times New Roman" w:eastAsia="宋体" w:cs="宋体"/>
          <w:kern w:val="0"/>
          <w:szCs w:val="24"/>
        </w:rPr>
        <w:t>未参与现场踏勘不作为否定投标供应商资格的理由。</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10．招标答疑</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10.1招标答疑的目的是澄清、解答投标供应商在查阅招标文件后或现场踏勘中可能提出的与投标有关的疑问或询问。</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10.2投标供应商提出的与投标有关的问题须在招标文件规定的答疑截止时间前以 </w:t>
      </w:r>
      <w:r>
        <w:rPr>
          <w:rFonts w:hint="eastAsia" w:ascii="宋体" w:hAnsi="Times New Roman" w:eastAsia="宋体" w:cs="宋体"/>
          <w:kern w:val="0"/>
          <w:szCs w:val="24"/>
        </w:rPr>
        <w:t>“质疑函</w:t>
      </w:r>
      <w:r>
        <w:rPr>
          <w:rFonts w:ascii="宋体" w:hAnsi="Times New Roman" w:eastAsia="宋体" w:cs="宋体"/>
          <w:kern w:val="0"/>
          <w:szCs w:val="24"/>
        </w:rPr>
        <w:t>”</w:t>
      </w:r>
      <w:r>
        <w:rPr>
          <w:rFonts w:hint="eastAsia" w:ascii="宋体" w:hAnsi="Times New Roman" w:eastAsia="宋体" w:cs="宋体"/>
          <w:kern w:val="0"/>
          <w:szCs w:val="24"/>
        </w:rPr>
        <w:t>的形式提交给采购代理机构，质疑函应该加盖质疑单位公章。</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10.3采购代理机构对疑问所做出的澄清和解答，以书面答复（包括网站发布信息）为准。答疑纪要的有效性规定按照本通用条款第13.3.13.4</w:t>
      </w:r>
      <w:r>
        <w:rPr>
          <w:rFonts w:hint="eastAsia" w:ascii="宋体" w:hAnsi="Times New Roman" w:eastAsia="宋体" w:cs="宋体"/>
          <w:kern w:val="0"/>
          <w:szCs w:val="24"/>
        </w:rPr>
        <w:t>款规定执行。</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10.4如采购代理机构认为有必要组织现场答疑会，投标供应商应按照招标文件规定的时间或采购代理机构另行书面通知（包括网站发布的通知）的时间和地点，参与现场答疑会。</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10.5未参与招标答疑不作为否定投标供应商资格的理由。</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52" w:name="_Toc167352565"/>
      <w:bookmarkStart w:id="153" w:name="_Toc530152523"/>
      <w:bookmarkStart w:id="154" w:name="_Toc14427255"/>
      <w:bookmarkStart w:id="155" w:name="_Toc529280582"/>
      <w:r>
        <w:rPr>
          <w:rFonts w:hint="eastAsia" w:ascii="宋体" w:hAnsi="Times New Roman" w:eastAsia="宋体" w:cs="Times New Roman"/>
          <w:kern w:val="0"/>
          <w:szCs w:val="20"/>
        </w:rPr>
        <w:t>第二章 招标文件</w:t>
      </w:r>
      <w:bookmarkEnd w:id="152"/>
      <w:bookmarkEnd w:id="153"/>
      <w:bookmarkEnd w:id="154"/>
      <w:bookmarkEnd w:id="155"/>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11．招标文件的编制与组成</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11.1招标文件除以下内容外，采购代理机构在招标（或谈判）期间发出的答疑纪要和其他补充修改函件，均是招标文件的组成部分，对投标供应商起约束作用；</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招标文件包括下列内容：</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项目关键信息</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评标信息</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第一册专用条款</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第一章招标公告</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第二章招标项目需求</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第三章合同条款及格式</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第四章投标文件格式、附件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第二册通用条款</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第一章总则</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第二章招标文件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第三章投标文件的编制与递交</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第四章开标</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第五章评标要求</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第六章评标程序及评标方法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第七章定标及公示</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第八章公开招标失败的后续处理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第九章合同的授予与备案</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第十章质疑处理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11.2 </w:t>
      </w:r>
      <w:r>
        <w:rPr>
          <w:rFonts w:hint="eastAsia" w:ascii="宋体" w:hAnsi="Times New Roman" w:eastAsia="宋体" w:cs="宋体"/>
          <w:kern w:val="0"/>
          <w:szCs w:val="24"/>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11.3</w:t>
      </w:r>
      <w:r>
        <w:rPr>
          <w:rFonts w:hint="eastAsia" w:ascii="宋体" w:hAnsi="Times New Roman" w:eastAsia="宋体" w:cs="宋体"/>
          <w:kern w:val="0"/>
          <w:szCs w:val="24"/>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12．招标文件的澄清</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12.1投标供应商在收到招标文件后，对招标文件任何部分若有任何疑问，或要求澄清招标文件的，均应在招标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12.2对于没有提出澄清又参与了该项目投标的供应商将被视为完全认同该招标文件（含澄清纪要），投标截止期后不再受理针对招标文件的相关质疑或投诉。</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12.3 </w:t>
      </w:r>
      <w:r>
        <w:rPr>
          <w:rFonts w:hint="eastAsia" w:ascii="宋体" w:hAnsi="Times New Roman" w:eastAsia="宋体" w:cs="宋体"/>
          <w:kern w:val="0"/>
          <w:szCs w:val="24"/>
        </w:rPr>
        <w:t>对招标文件中描述有歧意或前后不一致的地方，评标委员会有权进行评判，但对同一条款的评判应适用于每个投标供应商。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13．招标文件的修改</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13.1招标文件发出后，在投标截止日期前任何时候，确需要变更招标内容的，采购代理机构可主动地或在解答投标供应商提出的澄清问题时对招标文件进行修改；</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13.2招标文件的修改以书面形式（包括网站公开发布方式）发送给所有投标供应商，招标文件的修改内容作为招标文件的组成部分，并具有约束力。</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56" w:name="_Toc14427256"/>
      <w:bookmarkStart w:id="157" w:name="_Toc529280583"/>
      <w:bookmarkStart w:id="158" w:name="_Toc530152524"/>
      <w:bookmarkStart w:id="159" w:name="_Toc167352566"/>
      <w:r>
        <w:rPr>
          <w:rFonts w:hint="eastAsia" w:ascii="宋体" w:hAnsi="Times New Roman" w:eastAsia="宋体" w:cs="Times New Roman"/>
          <w:kern w:val="0"/>
          <w:szCs w:val="20"/>
        </w:rPr>
        <w:t>第三章 投标文件的编制与递交</w:t>
      </w:r>
      <w:bookmarkEnd w:id="156"/>
      <w:bookmarkEnd w:id="157"/>
      <w:bookmarkEnd w:id="158"/>
      <w:bookmarkEnd w:id="159"/>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14．投标文件的语言及度量单位</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14.1 </w:t>
      </w:r>
      <w:r>
        <w:rPr>
          <w:rFonts w:hint="eastAsia" w:ascii="宋体" w:hAnsi="Times New Roman" w:eastAsia="宋体" w:cs="宋体"/>
          <w:kern w:val="0"/>
          <w:szCs w:val="24"/>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14.2 </w:t>
      </w:r>
      <w:r>
        <w:rPr>
          <w:rFonts w:hint="eastAsia" w:ascii="宋体" w:hAnsi="Times New Roman" w:eastAsia="宋体" w:cs="宋体"/>
          <w:kern w:val="0"/>
          <w:szCs w:val="24"/>
        </w:rPr>
        <w:t>除技术规范另有规定外，投标文件使用的度量单位，均采用中华人民共和国法定计量单位。</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15．投标文件的组成</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具体内容请详见本项目专用条款的相关内容。</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16. </w:t>
      </w:r>
      <w:r>
        <w:rPr>
          <w:rFonts w:hint="eastAsia" w:ascii="宋体" w:hAnsi="Times New Roman" w:eastAsia="宋体" w:cs="宋体"/>
          <w:kern w:val="0"/>
          <w:szCs w:val="24"/>
        </w:rPr>
        <w:t>投标文件格式</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16.1</w:t>
      </w:r>
      <w:r>
        <w:rPr>
          <w:rFonts w:hint="eastAsia" w:ascii="宋体" w:hAnsi="Times New Roman" w:eastAsia="宋体" w:cs="宋体"/>
          <w:kern w:val="0"/>
          <w:szCs w:val="24"/>
        </w:rPr>
        <w:t>投标文件包括本通用条款第</w:t>
      </w:r>
      <w:r>
        <w:rPr>
          <w:rFonts w:ascii="宋体" w:hAnsi="Times New Roman" w:eastAsia="宋体" w:cs="宋体"/>
          <w:kern w:val="0"/>
          <w:szCs w:val="24"/>
        </w:rPr>
        <w:t>15条中规定的内容。如招标文件提供了投标文件格式，则投标供应商提交的投标文件必须毫无例外地使用招标文件所提供的相应格式并统一使用A4篇幅（表格可以按同样格式扩展）。</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17．投标货币</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本项目的投标应以人民币计。</w:t>
      </w:r>
    </w:p>
    <w:p>
      <w:pPr>
        <w:autoSpaceDE w:val="0"/>
        <w:autoSpaceDN w:val="0"/>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18. </w:t>
      </w:r>
      <w:r>
        <w:rPr>
          <w:rFonts w:hint="eastAsia" w:ascii="宋体" w:hAnsi="Times New Roman" w:eastAsia="宋体" w:cs="宋体"/>
          <w:kern w:val="0"/>
          <w:szCs w:val="24"/>
        </w:rPr>
        <w:t>证明投标供应商合格和资格的文件</w:t>
      </w:r>
    </w:p>
    <w:p>
      <w:pPr>
        <w:autoSpaceDE w:val="0"/>
        <w:autoSpaceDN w:val="0"/>
        <w:adjustRightInd w:val="0"/>
        <w:snapToGrid w:val="0"/>
        <w:spacing w:line="360" w:lineRule="auto"/>
        <w:rPr>
          <w:rFonts w:ascii="宋体" w:hAnsi="Times New Roman" w:eastAsia="宋体" w:cs="黑体"/>
          <w:b/>
          <w:bCs/>
          <w:kern w:val="0"/>
          <w:szCs w:val="21"/>
        </w:rPr>
      </w:pPr>
      <w:r>
        <w:rPr>
          <w:rFonts w:ascii="宋体" w:hAnsi="Times New Roman" w:eastAsia="宋体" w:cs="宋体"/>
          <w:kern w:val="0"/>
          <w:szCs w:val="21"/>
        </w:rPr>
        <w:t xml:space="preserve">18.1 </w:t>
      </w:r>
      <w:r>
        <w:rPr>
          <w:rFonts w:hint="eastAsia" w:ascii="宋体" w:hAnsi="Times New Roman" w:eastAsia="宋体" w:cs="宋体"/>
          <w:kern w:val="0"/>
          <w:szCs w:val="21"/>
          <w:lang w:eastAsia="zh-TW"/>
        </w:rPr>
        <w:t>投标供应商应提交证明其有资格参加投标和中标后有能力履行合同的文件</w:t>
      </w:r>
      <w:r>
        <w:rPr>
          <w:rFonts w:hint="eastAsia" w:ascii="宋体" w:hAnsi="Times New Roman" w:eastAsia="宋体" w:cs="宋体"/>
          <w:kern w:val="0"/>
          <w:szCs w:val="21"/>
        </w:rPr>
        <w:t>，</w:t>
      </w:r>
      <w:r>
        <w:rPr>
          <w:rFonts w:hint="eastAsia" w:ascii="宋体" w:hAnsi="Times New Roman" w:eastAsia="宋体" w:cs="宋体"/>
          <w:kern w:val="0"/>
          <w:szCs w:val="21"/>
          <w:lang w:eastAsia="zh-TW"/>
        </w:rPr>
        <w:t>并作为其投标文件的一部分。如果投标供应商为联合体</w:t>
      </w:r>
      <w:r>
        <w:rPr>
          <w:rFonts w:hint="eastAsia" w:ascii="宋体" w:hAnsi="Times New Roman" w:eastAsia="宋体" w:cs="宋体"/>
          <w:kern w:val="0"/>
          <w:szCs w:val="21"/>
        </w:rPr>
        <w:t>，</w:t>
      </w:r>
      <w:r>
        <w:rPr>
          <w:rFonts w:hint="eastAsia" w:ascii="宋体" w:hAnsi="Times New Roman" w:eastAsia="宋体" w:cs="宋体"/>
          <w:kern w:val="0"/>
          <w:szCs w:val="21"/>
          <w:lang w:eastAsia="zh-TW"/>
        </w:rPr>
        <w:t>应提交联合体各方的资格证明文件、</w:t>
      </w:r>
      <w:r>
        <w:rPr>
          <w:rFonts w:hint="eastAsia" w:ascii="宋体" w:hAnsi="Times New Roman" w:eastAsia="宋体" w:cs="宋体"/>
          <w:kern w:val="0"/>
          <w:szCs w:val="21"/>
        </w:rPr>
        <w:t>共同投标协议</w:t>
      </w:r>
      <w:r>
        <w:rPr>
          <w:rFonts w:hint="eastAsia" w:ascii="宋体" w:hAnsi="Times New Roman" w:eastAsia="宋体" w:cs="宋体"/>
          <w:kern w:val="0"/>
          <w:szCs w:val="21"/>
          <w:lang w:eastAsia="zh-TW"/>
        </w:rPr>
        <w:t>并注明</w:t>
      </w:r>
      <w:r>
        <w:rPr>
          <w:rFonts w:hint="eastAsia" w:ascii="宋体" w:hAnsi="Times New Roman" w:eastAsia="宋体" w:cs="宋体"/>
          <w:kern w:val="0"/>
          <w:szCs w:val="21"/>
        </w:rPr>
        <w:t>主体方及各方拟承担的工作和责任。</w:t>
      </w:r>
      <w:r>
        <w:rPr>
          <w:rFonts w:hint="eastAsia" w:ascii="宋体" w:hAnsi="Times New Roman" w:eastAsia="宋体" w:cs="宋体"/>
          <w:kern w:val="0"/>
          <w:szCs w:val="21"/>
          <w:lang w:eastAsia="zh-TW"/>
        </w:rPr>
        <w:t>否则</w:t>
      </w:r>
      <w:r>
        <w:rPr>
          <w:rFonts w:hint="eastAsia" w:ascii="宋体" w:hAnsi="Times New Roman" w:eastAsia="宋体" w:cs="宋体"/>
          <w:kern w:val="0"/>
          <w:szCs w:val="21"/>
        </w:rPr>
        <w:t>，</w:t>
      </w:r>
      <w:r>
        <w:rPr>
          <w:rFonts w:hint="eastAsia" w:ascii="宋体" w:hAnsi="Times New Roman" w:eastAsia="宋体" w:cs="宋体"/>
          <w:kern w:val="0"/>
          <w:szCs w:val="21"/>
          <w:lang w:eastAsia="zh-TW"/>
        </w:rPr>
        <w:t>将导致其投标</w:t>
      </w:r>
      <w:r>
        <w:rPr>
          <w:rFonts w:hint="eastAsia" w:ascii="宋体" w:hAnsi="Times New Roman" w:eastAsia="宋体" w:cs="宋体"/>
          <w:kern w:val="0"/>
          <w:szCs w:val="21"/>
        </w:rPr>
        <w:t>无效。</w:t>
      </w:r>
    </w:p>
    <w:p>
      <w:pPr>
        <w:autoSpaceDE w:val="0"/>
        <w:autoSpaceDN w:val="0"/>
        <w:adjustRightInd w:val="0"/>
        <w:snapToGrid w:val="0"/>
        <w:spacing w:line="360" w:lineRule="auto"/>
        <w:rPr>
          <w:rFonts w:ascii="宋体" w:hAnsi="Times New Roman" w:eastAsia="宋体" w:cs="宋体"/>
          <w:kern w:val="0"/>
          <w:szCs w:val="21"/>
          <w:lang w:eastAsia="zh-TW"/>
        </w:rPr>
      </w:pPr>
      <w:r>
        <w:rPr>
          <w:rFonts w:ascii="宋体" w:hAnsi="Times New Roman" w:eastAsia="宋体" w:cs="宋体"/>
          <w:kern w:val="0"/>
          <w:szCs w:val="21"/>
        </w:rPr>
        <w:t xml:space="preserve">18.2 </w:t>
      </w:r>
      <w:r>
        <w:rPr>
          <w:rFonts w:hint="eastAsia" w:ascii="宋体" w:hAnsi="Times New Roman" w:eastAsia="宋体" w:cs="宋体"/>
          <w:kern w:val="0"/>
          <w:szCs w:val="21"/>
          <w:lang w:eastAsia="zh-TW"/>
        </w:rPr>
        <w:t>投标供应商提交的资格证明文件应证明其</w:t>
      </w:r>
      <w:r>
        <w:rPr>
          <w:rFonts w:hint="eastAsia" w:ascii="宋体" w:hAnsi="Times New Roman" w:eastAsia="宋体" w:cs="宋体"/>
          <w:kern w:val="0"/>
          <w:szCs w:val="21"/>
        </w:rPr>
        <w:t>满足</w:t>
      </w:r>
      <w:r>
        <w:rPr>
          <w:rFonts w:hint="eastAsia" w:ascii="宋体" w:hAnsi="Times New Roman" w:eastAsia="宋体" w:cs="宋体"/>
          <w:kern w:val="0"/>
          <w:szCs w:val="21"/>
          <w:lang w:eastAsia="zh-TW"/>
        </w:rPr>
        <w:t>本须知定义的合格投标供应商。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19．证明投标文件投标技术方案的合格性和符合招标文件规定的文件要求</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19.1 </w:t>
      </w:r>
      <w:r>
        <w:rPr>
          <w:rFonts w:hint="eastAsia" w:ascii="宋体" w:hAnsi="Times New Roman" w:eastAsia="宋体" w:cs="宋体"/>
          <w:kern w:val="0"/>
          <w:szCs w:val="24"/>
        </w:rPr>
        <w:t>投标供应商应提交证明文件证明其投标技术方案项下的货物、工程和服务的合格性符合招标文件规定。该投标技术方案及其证明文件作为投标文件的一部分。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19.2 </w:t>
      </w:r>
      <w:r>
        <w:rPr>
          <w:rFonts w:hint="eastAsia" w:ascii="宋体" w:hAnsi="Times New Roman" w:eastAsia="宋体" w:cs="宋体"/>
          <w:kern w:val="0"/>
          <w:szCs w:val="24"/>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19.2.1主要技术指标和性能的详细说明。</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19.2.2</w:t>
      </w:r>
      <w:r>
        <w:rPr>
          <w:rFonts w:hint="eastAsia" w:ascii="宋体" w:hAnsi="Times New Roman" w:eastAsia="宋体" w:cs="宋体"/>
          <w:kern w:val="0"/>
          <w:szCs w:val="24"/>
        </w:rPr>
        <w:t>投标产品从采购人开始使用至招标文件中规定的周期内正常、连续地使用所必须的备件和专用工具清单，包括备件和专用工具的货源及现行价格。</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19.2.3</w:t>
      </w:r>
      <w:r>
        <w:rPr>
          <w:rFonts w:hint="eastAsia" w:ascii="宋体" w:hAnsi="Times New Roman" w:eastAsia="宋体" w:cs="宋体"/>
          <w:kern w:val="0"/>
          <w:szCs w:val="24"/>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19.2.5我国政府机构出具的产品检验和核准证件应为证件正面、背面和附件标注的全部具体内容；产品检验和核准证件应能清晰的阅读、识别和判断，提供原件复印件。</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19.3相关资料不符合19.2款要求的，评标委员会有权认定为投标技术方案不合格响应，其相关分数予以扣减或作废标处理。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19.5投标供应商在阐述上述第18.2时应注意采购人在技术规格中指出的工艺、材料和设备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19.6为保证公平公正，除非另有规定或说明，投标供应商对同一货物或服务投标时，不得同时提供两套或两套以上的投标方案。</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20．投标文件其他证明文件的要求</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20.2本项目涉及提供的有关资质证书，若原有资质证书处于年审期间，投标供应商提供年审证明的可按原资质投标；若投标供应商正在申报上一级别资质，在未获批准之前，仍按原级别资质投标。</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21．投标有效期</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21.1 </w:t>
      </w:r>
      <w:r>
        <w:rPr>
          <w:rFonts w:hint="eastAsia" w:ascii="宋体" w:hAnsi="Times New Roman" w:eastAsia="宋体" w:cs="宋体"/>
          <w:kern w:val="0"/>
          <w:szCs w:val="24"/>
        </w:rPr>
        <w:t>投标有效期为从投标截止之日算起的日历天数，具体见专用条款中投标有效期的天数要求。在此期限内，所有投标文件均保持有效；</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21.2 </w:t>
      </w:r>
      <w:r>
        <w:rPr>
          <w:rFonts w:hint="eastAsia" w:ascii="宋体" w:hAnsi="Times New Roman" w:eastAsia="宋体" w:cs="宋体"/>
          <w:kern w:val="0"/>
          <w:szCs w:val="24"/>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rPr>
          <w:rFonts w:ascii="宋体" w:hAnsi="Times New Roman" w:eastAsia="宋体" w:cs="宋体"/>
          <w:kern w:val="0"/>
          <w:szCs w:val="24"/>
        </w:rPr>
        <w:t>22条关于投标保证金的退还与没收的规定仍然适用；</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21.3 中标单位的投标书有效期，截止于完成本招标文件规定的全部项目内容，并通过竣工验收及保修结束。</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22．投标保证金</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22.1投标保证金的缴纳：</w:t>
      </w:r>
      <w:r>
        <w:rPr>
          <w:rFonts w:hint="eastAsia" w:ascii="宋体" w:hAnsi="Times New Roman" w:eastAsia="宋体" w:cs="宋体"/>
          <w:b/>
          <w:kern w:val="0"/>
          <w:szCs w:val="24"/>
        </w:rPr>
        <w:t>（本项目不适用）</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22.1.1缴纳投标保证金的方式：参与投标前须缴纳壹万元保证金，落标或中标项目完成后返还，参与投标前未缴纳的，其投标将不予受理。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22.1.2 </w:t>
      </w:r>
      <w:r>
        <w:rPr>
          <w:rFonts w:hint="eastAsia" w:ascii="宋体" w:hAnsi="Times New Roman" w:eastAsia="宋体" w:cs="宋体"/>
          <w:kern w:val="0"/>
          <w:szCs w:val="24"/>
        </w:rPr>
        <w:t>若为重大项目，采购代理机构可自行决定另外收取投标保证金，不受</w:t>
      </w:r>
      <w:r>
        <w:rPr>
          <w:rFonts w:ascii="宋体" w:hAnsi="Times New Roman" w:eastAsia="宋体" w:cs="宋体"/>
          <w:kern w:val="0"/>
          <w:szCs w:val="24"/>
        </w:rPr>
        <w:t>22.1.1款限制。是否另外收取投标保证金，请见本招标文件专用条款《对通用条款的补充内容》中的相关要求。</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22.2</w:t>
      </w:r>
      <w:r>
        <w:rPr>
          <w:rFonts w:hint="eastAsia" w:ascii="宋体" w:hAnsi="Times New Roman" w:eastAsia="宋体" w:cs="宋体"/>
          <w:kern w:val="0"/>
          <w:szCs w:val="24"/>
        </w:rPr>
        <w:t>投标保证金是为了保护采购代理机构和采购人免因投标供应商的行为而蒙受损失。采购代理机构和采购人因投标供应商的行为受到损害时可根据本通用条款第</w:t>
      </w:r>
      <w:r>
        <w:rPr>
          <w:rFonts w:ascii="宋体" w:hAnsi="Times New Roman" w:eastAsia="宋体" w:cs="宋体"/>
          <w:kern w:val="0"/>
          <w:szCs w:val="21"/>
        </w:rPr>
        <w:t>22.3款</w:t>
      </w:r>
      <w:r>
        <w:rPr>
          <w:rFonts w:hint="eastAsia" w:ascii="宋体" w:hAnsi="Times New Roman" w:eastAsia="宋体" w:cs="宋体"/>
          <w:kern w:val="0"/>
          <w:szCs w:val="24"/>
        </w:rPr>
        <w:t>的规定没收投标供应商的投标保证金。</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22.3如下列任何情况发生时，投标保证金将被没收。</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1）投标供应商在招标文件中规定的投标有效期内撤回其投标；</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2）中标供应商在规定期限内未能根据本项通用条款第47条规定签订合同；</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3）投标供应商提供虚假投标文件或虚假补充文件：</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4）投标供应商以谋取中标为目的的技术规格模糊响应（如有意照搬照抄招标文件的技术要求）或虚假响应的；</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5）投标供应商质疑投诉提供虚假情况。</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22.4</w:t>
      </w:r>
      <w:r>
        <w:rPr>
          <w:rFonts w:hint="eastAsia" w:ascii="宋体" w:hAnsi="Times New Roman" w:eastAsia="宋体" w:cs="宋体"/>
          <w:kern w:val="0"/>
          <w:szCs w:val="24"/>
        </w:rPr>
        <w:t>不再收取</w:t>
      </w:r>
      <w:r>
        <w:rPr>
          <w:rFonts w:ascii="宋体" w:hAnsi="Times New Roman" w:eastAsia="宋体" w:cs="宋体"/>
          <w:kern w:val="0"/>
          <w:szCs w:val="24"/>
        </w:rPr>
        <w:t>投标保证金</w:t>
      </w:r>
      <w:r>
        <w:rPr>
          <w:rFonts w:hint="eastAsia" w:ascii="宋体" w:hAnsi="Times New Roman" w:eastAsia="宋体" w:cs="宋体"/>
          <w:kern w:val="0"/>
          <w:szCs w:val="24"/>
        </w:rPr>
        <w:t>。</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23．投标供应商的替代方案</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widowControl/>
        <w:shd w:val="clear" w:color="auto" w:fill="FFFFFF"/>
        <w:adjustRightInd w:val="0"/>
        <w:snapToGrid w:val="0"/>
        <w:spacing w:line="360" w:lineRule="auto"/>
        <w:rPr>
          <w:rFonts w:ascii="宋体" w:hAnsi="Times New Roman" w:eastAsia="宋体" w:cs="宋体"/>
          <w:bCs/>
          <w:kern w:val="0"/>
          <w:sz w:val="30"/>
          <w:szCs w:val="30"/>
        </w:rPr>
      </w:pPr>
      <w:r>
        <w:rPr>
          <w:rFonts w:ascii="宋体" w:hAnsi="Times New Roman" w:eastAsia="宋体" w:cs="宋体"/>
          <w:kern w:val="0"/>
          <w:szCs w:val="24"/>
        </w:rPr>
        <w:t xml:space="preserve">23.2 </w:t>
      </w:r>
      <w:r>
        <w:rPr>
          <w:rFonts w:hint="eastAsia" w:ascii="宋体" w:hAnsi="Times New Roman" w:eastAsia="宋体" w:cs="宋体"/>
          <w:kern w:val="0"/>
          <w:szCs w:val="24"/>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24． </w:t>
      </w:r>
      <w:r>
        <w:rPr>
          <w:rFonts w:hint="eastAsia" w:ascii="宋体" w:hAnsi="Times New Roman" w:eastAsia="宋体" w:cs="宋体"/>
          <w:kern w:val="0"/>
          <w:szCs w:val="24"/>
        </w:rPr>
        <w:t>投标文件的密封、标记和装订</w:t>
      </w:r>
    </w:p>
    <w:p>
      <w:pPr>
        <w:autoSpaceDE w:val="0"/>
        <w:autoSpaceDN w:val="0"/>
        <w:adjustRightInd w:val="0"/>
        <w:snapToGrid w:val="0"/>
        <w:spacing w:line="360" w:lineRule="auto"/>
        <w:rPr>
          <w:rFonts w:ascii="宋体" w:hAnsi="Times New Roman" w:eastAsia="宋体" w:cs="黑体"/>
          <w:bCs/>
          <w:kern w:val="0"/>
          <w:szCs w:val="21"/>
        </w:rPr>
      </w:pPr>
      <w:r>
        <w:rPr>
          <w:rFonts w:ascii="宋体" w:hAnsi="Times New Roman" w:eastAsia="宋体" w:cs="宋体"/>
          <w:kern w:val="0"/>
          <w:szCs w:val="24"/>
        </w:rPr>
        <w:t xml:space="preserve">24.1 </w:t>
      </w:r>
      <w:r>
        <w:rPr>
          <w:rFonts w:hint="eastAsia" w:ascii="宋体" w:hAnsi="Times New Roman" w:eastAsia="宋体" w:cs="黑体"/>
          <w:bCs/>
          <w:kern w:val="0"/>
          <w:szCs w:val="21"/>
        </w:rPr>
        <w:t>为方便开标唱标，投标供应商应单独提交一个密封信封，并在信封上标明“开标信封”的字样，内容包括开标一览表</w:t>
      </w:r>
      <w:r>
        <w:rPr>
          <w:rFonts w:ascii="宋体" w:hAnsi="Times New Roman" w:eastAsia="宋体" w:cs="黑体"/>
          <w:bCs/>
          <w:kern w:val="0"/>
          <w:szCs w:val="21"/>
        </w:rPr>
        <w:t>(报价表)、法定代表人证明书或法定代表人授权委托书、</w:t>
      </w:r>
      <w:r>
        <w:rPr>
          <w:rFonts w:hint="eastAsia" w:ascii="宋体" w:hAnsi="Times New Roman" w:eastAsia="宋体" w:cs="宋体"/>
          <w:kern w:val="0"/>
          <w:szCs w:val="21"/>
        </w:rPr>
        <w:t>投标文件电子光盘</w:t>
      </w:r>
      <w:r>
        <w:rPr>
          <w:rFonts w:hint="eastAsia" w:ascii="宋体" w:hAnsi="Times New Roman" w:eastAsia="宋体" w:cs="黑体"/>
          <w:bCs/>
          <w:kern w:val="0"/>
          <w:szCs w:val="21"/>
        </w:rPr>
        <w:t>，若本项目（或包组）接受联合体投标，则联合体投标，应将各方共同签署的《联合投标协议》和《投标联合体授权主体方协议书》一并提交。开标信封是投标文件的组成部分。</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4"/>
        </w:rPr>
        <w:t xml:space="preserve">24.2 </w:t>
      </w:r>
      <w:r>
        <w:rPr>
          <w:rFonts w:hint="eastAsia" w:ascii="宋体" w:hAnsi="Times New Roman" w:eastAsia="宋体" w:cs="宋体"/>
          <w:kern w:val="0"/>
          <w:szCs w:val="24"/>
        </w:rPr>
        <w:t>投标文件为纸质投标文件，</w:t>
      </w:r>
      <w:r>
        <w:rPr>
          <w:rFonts w:hint="eastAsia" w:ascii="宋体" w:hAnsi="Times New Roman" w:eastAsia="宋体" w:cs="宋体"/>
          <w:kern w:val="0"/>
          <w:szCs w:val="21"/>
        </w:rPr>
        <w:t>含正本和副本，投标文件应标明项目编号、招标项目名称及“正本”或“副本”。</w:t>
      </w:r>
      <w:r>
        <w:rPr>
          <w:rFonts w:hint="eastAsia" w:ascii="宋体" w:hAnsi="Times New Roman" w:eastAsia="宋体" w:cs="宋体"/>
          <w:kern w:val="0"/>
          <w:szCs w:val="24"/>
        </w:rPr>
        <w:t>投标文件的所有内容应按</w:t>
      </w:r>
      <w:r>
        <w:rPr>
          <w:rFonts w:ascii="宋体" w:hAnsi="Times New Roman" w:eastAsia="宋体" w:cs="宋体"/>
          <w:kern w:val="0"/>
          <w:szCs w:val="24"/>
        </w:rPr>
        <w:t>A4篇幅装订成一册，装订应牢固不可拆卸。装订好的投标文件密封包装在一个外密封袋中，并在外密封袋上注明：</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投标文件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项目编号：</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项目名称：</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投标供应商名称（盖章）：</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投标截止时间：</w:t>
      </w:r>
      <w:r>
        <w:rPr>
          <w:rFonts w:ascii="宋体" w:hAnsi="Times New Roman" w:eastAsia="宋体" w:cs="宋体"/>
          <w:kern w:val="0"/>
          <w:szCs w:val="24"/>
          <w:u w:val="single"/>
        </w:rPr>
        <w:t>_______年______月______日______时______分（前不得开封）</w:t>
      </w:r>
      <w:r>
        <w:rPr>
          <w:rFonts w:hint="eastAsia" w:ascii="宋体" w:hAnsi="Times New Roman" w:eastAsia="宋体" w:cs="宋体"/>
          <w:kern w:val="0"/>
          <w:szCs w:val="24"/>
        </w:rPr>
        <w:t>。</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24.3  </w:t>
      </w:r>
      <w:r>
        <w:rPr>
          <w:rFonts w:hint="eastAsia" w:ascii="宋体" w:hAnsi="Times New Roman" w:eastAsia="宋体" w:cs="宋体"/>
          <w:kern w:val="0"/>
          <w:szCs w:val="24"/>
        </w:rPr>
        <w:t>所有投标文件的密封袋的封口处均应加盖投标供应商公章。</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24.4  </w:t>
      </w:r>
      <w:r>
        <w:rPr>
          <w:rFonts w:hint="eastAsia" w:ascii="宋体" w:hAnsi="Times New Roman" w:eastAsia="宋体" w:cs="宋体"/>
          <w:kern w:val="0"/>
          <w:szCs w:val="24"/>
        </w:rPr>
        <w:t>对于因标书标识不清、装订不牢、密封不严等导致的不利后果由该投标供应商自负。</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24.5  </w:t>
      </w:r>
      <w:r>
        <w:rPr>
          <w:rFonts w:hint="eastAsia" w:ascii="宋体" w:hAnsi="Times New Roman" w:eastAsia="宋体" w:cs="宋体"/>
          <w:kern w:val="0"/>
          <w:szCs w:val="21"/>
        </w:rPr>
        <w:t>投标方应将投标文件按</w:t>
      </w:r>
      <w:r>
        <w:rPr>
          <w:rFonts w:ascii="宋体" w:hAnsi="Times New Roman" w:eastAsia="宋体" w:cs="宋体"/>
          <w:kern w:val="0"/>
          <w:szCs w:val="21"/>
        </w:rPr>
        <w:t>24.1-24.2中的规定进行密封和标记后，按专用条款中招标公告注明的地址送至招标机构。</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24.6  </w:t>
      </w:r>
      <w:r>
        <w:rPr>
          <w:rFonts w:hint="eastAsia" w:ascii="宋体" w:hAnsi="Times New Roman" w:eastAsia="宋体" w:cs="宋体"/>
          <w:kern w:val="0"/>
          <w:szCs w:val="21"/>
        </w:rPr>
        <w:t>邮寄、电报、电话、传真形式的投标概不接受。</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24.7  </w:t>
      </w:r>
      <w:r>
        <w:rPr>
          <w:rFonts w:hint="eastAsia" w:ascii="宋体" w:hAnsi="Times New Roman" w:eastAsia="宋体" w:cs="宋体"/>
          <w:kern w:val="0"/>
          <w:szCs w:val="21"/>
        </w:rPr>
        <w:t>投标文件电子版：电子光盘一张（WORD及投标文件正本盖章后的彩色复印件，复印件要求为</w:t>
      </w:r>
      <w:r>
        <w:rPr>
          <w:rFonts w:ascii="宋体" w:hAnsi="Times New Roman" w:eastAsia="宋体" w:cs="宋体"/>
          <w:kern w:val="0"/>
          <w:szCs w:val="21"/>
        </w:rPr>
        <w:t>PDF格式），请将该光盘放在开标信封中，并在光盘上标明项目编号、项目名称及投标供应商名称。</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25． </w:t>
      </w:r>
      <w:r>
        <w:rPr>
          <w:rFonts w:hint="eastAsia" w:ascii="宋体" w:hAnsi="Times New Roman" w:eastAsia="宋体" w:cs="宋体"/>
          <w:kern w:val="0"/>
          <w:szCs w:val="21"/>
        </w:rPr>
        <w:t>投标截止时间</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1"/>
        </w:rPr>
        <w:t>招标机构在投标供应商须知第</w:t>
      </w:r>
      <w:r>
        <w:rPr>
          <w:rFonts w:ascii="宋体" w:hAnsi="Times New Roman" w:eastAsia="宋体" w:cs="宋体"/>
          <w:kern w:val="0"/>
          <w:szCs w:val="21"/>
        </w:rPr>
        <w:t>24.5条规定的地址收到投标书的时间不得迟于“投标供应商须知前附表”第19</w:t>
      </w:r>
      <w:r>
        <w:rPr>
          <w:rFonts w:hint="eastAsia" w:ascii="宋体" w:hAnsi="Times New Roman" w:eastAsia="宋体" w:cs="宋体"/>
          <w:kern w:val="0"/>
          <w:szCs w:val="21"/>
        </w:rPr>
        <w:t>项所规定的时间。</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26．迟交的投标书</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    按照本通用条款第25条规定，招标机构将拒绝并原封退回在其规定的投标截止期后收到的任何投标书。</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27． </w:t>
      </w:r>
      <w:r>
        <w:rPr>
          <w:rFonts w:hint="eastAsia" w:ascii="宋体" w:hAnsi="Times New Roman" w:eastAsia="宋体" w:cs="宋体"/>
          <w:kern w:val="0"/>
          <w:szCs w:val="24"/>
        </w:rPr>
        <w:t>投标文件的提交和截标时投标文件的数量要求</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27.1  </w:t>
      </w:r>
      <w:r>
        <w:rPr>
          <w:rFonts w:hint="eastAsia" w:ascii="宋体" w:hAnsi="Times New Roman" w:eastAsia="宋体" w:cs="宋体"/>
          <w:kern w:val="0"/>
          <w:szCs w:val="24"/>
        </w:rPr>
        <w:t>投标截止时间和地点。投标供应商应根据“专用条款”的规定，在投标截止时间前将投标文件密封送达指定地点。未及时送达指定地点及不符合密封、标记、签章、装订要求的投标文件采购代理机构将拒绝接收。</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27.2  截标时</w:t>
      </w:r>
      <w:r>
        <w:rPr>
          <w:rFonts w:hint="eastAsia" w:ascii="宋体" w:hAnsi="Times New Roman" w:eastAsia="宋体" w:cs="宋体"/>
          <w:kern w:val="0"/>
          <w:szCs w:val="24"/>
        </w:rPr>
        <w:t>递</w:t>
      </w:r>
      <w:r>
        <w:rPr>
          <w:rFonts w:ascii="宋体" w:hAnsi="Times New Roman" w:eastAsia="宋体" w:cs="宋体"/>
          <w:kern w:val="0"/>
          <w:szCs w:val="24"/>
        </w:rPr>
        <w:t>交标书的投标供应商数</w:t>
      </w:r>
      <w:r>
        <w:rPr>
          <w:rFonts w:hint="eastAsia" w:ascii="宋体" w:hAnsi="Times New Roman" w:eastAsia="宋体" w:cs="宋体"/>
          <w:kern w:val="0"/>
          <w:szCs w:val="24"/>
        </w:rPr>
        <w:t>量未达到法定家数的，采购代理机构将按法律法规的规定暂停</w:t>
      </w:r>
      <w:r>
        <w:rPr>
          <w:rFonts w:ascii="宋体" w:hAnsi="Times New Roman" w:eastAsia="宋体" w:cs="宋体"/>
          <w:kern w:val="0"/>
          <w:szCs w:val="24"/>
        </w:rPr>
        <w:t>开标和评标程序</w:t>
      </w:r>
      <w:r>
        <w:rPr>
          <w:rFonts w:hint="eastAsia" w:ascii="宋体" w:hAnsi="Times New Roman" w:eastAsia="宋体" w:cs="宋体"/>
          <w:kern w:val="0"/>
          <w:szCs w:val="24"/>
        </w:rPr>
        <w:t>。如导致招标失败，采购人或采购代理机构将不负担因此给</w:t>
      </w:r>
      <w:r>
        <w:rPr>
          <w:rFonts w:ascii="宋体" w:hAnsi="Times New Roman" w:eastAsia="宋体" w:cs="宋体"/>
          <w:kern w:val="0"/>
          <w:szCs w:val="24"/>
        </w:rPr>
        <w:t>投标供应商</w:t>
      </w:r>
      <w:r>
        <w:rPr>
          <w:rFonts w:hint="eastAsia" w:ascii="宋体" w:hAnsi="Times New Roman" w:eastAsia="宋体" w:cs="宋体"/>
          <w:kern w:val="0"/>
          <w:szCs w:val="24"/>
        </w:rPr>
        <w:t>造成的损失。</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28．  </w:t>
      </w:r>
      <w:r>
        <w:rPr>
          <w:rFonts w:hint="eastAsia" w:ascii="宋体" w:hAnsi="Times New Roman" w:eastAsia="宋体" w:cs="宋体"/>
          <w:kern w:val="0"/>
          <w:szCs w:val="24"/>
        </w:rPr>
        <w:t>投标文件的修改或撤回</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28.1  </w:t>
      </w:r>
      <w:r>
        <w:rPr>
          <w:rFonts w:hint="eastAsia" w:ascii="宋体" w:hAnsi="Times New Roman" w:eastAsia="宋体" w:cs="宋体"/>
          <w:kern w:val="0"/>
          <w:szCs w:val="24"/>
        </w:rPr>
        <w:t>投标供应商已提交投标文件，规定的投标</w:t>
      </w:r>
      <w:r>
        <w:rPr>
          <w:rFonts w:ascii="宋体" w:hAnsi="Times New Roman" w:eastAsia="宋体" w:cs="宋体"/>
          <w:kern w:val="0"/>
          <w:szCs w:val="24"/>
        </w:rPr>
        <w:t>截止</w:t>
      </w:r>
      <w:r>
        <w:rPr>
          <w:rFonts w:hint="eastAsia" w:ascii="宋体" w:hAnsi="Times New Roman" w:eastAsia="宋体" w:cs="宋体"/>
          <w:kern w:val="0"/>
          <w:szCs w:val="24"/>
        </w:rPr>
        <w:t>时间还未到，投标供应商可提出对其投标文件的修改或撤回。投标供应商须提交由投标供应商代表签名的修改或撤回的书面通知。</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28.2  </w:t>
      </w:r>
      <w:r>
        <w:rPr>
          <w:rFonts w:hint="eastAsia" w:ascii="宋体" w:hAnsi="Times New Roman" w:eastAsia="宋体" w:cs="宋体"/>
          <w:kern w:val="0"/>
          <w:szCs w:val="24"/>
        </w:rPr>
        <w:t>采购代理机构收到由投标供应商代表签名的修改或撤回的书面通知并确认后，投标供应商可对其投标文件进行修改，或是撤回其投标。</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28.3  </w:t>
      </w:r>
      <w:r>
        <w:rPr>
          <w:rFonts w:hint="eastAsia" w:ascii="宋体" w:hAnsi="Times New Roman" w:eastAsia="宋体" w:cs="宋体"/>
          <w:kern w:val="0"/>
          <w:szCs w:val="24"/>
        </w:rPr>
        <w:t>投标供应商的修改文件应按照本招标文件的规定进行编制、密封、标记和提交，并在密封袋上注明“投标修改”。</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28.4  </w:t>
      </w:r>
      <w:r>
        <w:rPr>
          <w:rFonts w:hint="eastAsia" w:ascii="宋体" w:hAnsi="Times New Roman" w:eastAsia="宋体" w:cs="宋体"/>
          <w:kern w:val="0"/>
          <w:szCs w:val="24"/>
        </w:rPr>
        <w:t>投标截止时间之后至投标文件有效期终止之前，投标供应商不得要求撤回其投标。在此期间撤回投标的，其投标担保将会被没收。</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28.5  </w:t>
      </w:r>
      <w:r>
        <w:rPr>
          <w:rFonts w:hint="eastAsia" w:ascii="宋体" w:hAnsi="Times New Roman" w:eastAsia="宋体" w:cs="宋体"/>
          <w:kern w:val="0"/>
          <w:szCs w:val="24"/>
        </w:rPr>
        <w:t>评标结束后，不论中标与否，投标供应商均不得收回投标文件。</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60" w:name="_Toc14427257"/>
      <w:bookmarkStart w:id="161" w:name="_Toc529280584"/>
      <w:bookmarkStart w:id="162" w:name="_Toc167352567"/>
      <w:bookmarkStart w:id="163" w:name="_Toc530152525"/>
      <w:r>
        <w:rPr>
          <w:rFonts w:hint="eastAsia" w:ascii="宋体" w:hAnsi="Times New Roman" w:eastAsia="宋体" w:cs="Times New Roman"/>
          <w:kern w:val="0"/>
          <w:szCs w:val="20"/>
        </w:rPr>
        <w:t>第四章 开标</w:t>
      </w:r>
      <w:bookmarkEnd w:id="160"/>
      <w:bookmarkEnd w:id="161"/>
      <w:bookmarkEnd w:id="162"/>
      <w:bookmarkEnd w:id="163"/>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29．　开标</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29.1  </w:t>
      </w:r>
      <w:r>
        <w:rPr>
          <w:rFonts w:hint="eastAsia" w:ascii="宋体" w:hAnsi="Times New Roman" w:eastAsia="宋体" w:cs="宋体"/>
          <w:kern w:val="0"/>
          <w:szCs w:val="24"/>
        </w:rPr>
        <w:t>采购人在“投标须知前附表”中规定的时间、地点组织公开开标。邀请所有投标供应商代表参加。不参加开标会的投标供应商，视为其认可开标程序和结果。</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29.2  </w:t>
      </w:r>
      <w:r>
        <w:rPr>
          <w:rFonts w:hint="eastAsia" w:ascii="宋体" w:hAnsi="Times New Roman" w:eastAsia="宋体" w:cs="宋体"/>
          <w:kern w:val="0"/>
          <w:szCs w:val="24"/>
        </w:rPr>
        <w:t>参加开标会议的投标供应商只委派一名代表，且必须是本单位法定代表人或授权代表，参加会议人员须提供相应的授权委托书。</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29.3  </w:t>
      </w:r>
      <w:r>
        <w:rPr>
          <w:rFonts w:hint="eastAsia" w:ascii="宋体" w:hAnsi="Times New Roman" w:eastAsia="宋体" w:cs="宋体"/>
          <w:kern w:val="0"/>
          <w:szCs w:val="24"/>
        </w:rPr>
        <w:t>开标会由采购代理机构主持，开标程序如下：</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29.3.1  采购代理机构核对法人代表或其授权代表身份证明，若不能提供相应的身份证明或不相符，则不能参与开标会议； </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29.3.2  </w:t>
      </w:r>
      <w:r>
        <w:rPr>
          <w:rFonts w:hint="eastAsia" w:ascii="宋体" w:hAnsi="Times New Roman" w:eastAsia="宋体" w:cs="宋体"/>
          <w:kern w:val="0"/>
          <w:szCs w:val="21"/>
        </w:rPr>
        <w:t>招标机构将按“招标公告”规定的时间和地点组织公开开标。投标供应商应委派代表参加，参加开标的代表应签名报到以证明出席。</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29.3.3  </w:t>
      </w:r>
      <w:r>
        <w:rPr>
          <w:rFonts w:hint="eastAsia" w:ascii="宋体" w:hAnsi="Times New Roman" w:eastAsia="宋体" w:cs="宋体"/>
          <w:kern w:val="0"/>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widowControl/>
        <w:shd w:val="clear" w:color="auto" w:fill="FFFFFF"/>
        <w:adjustRightInd w:val="0"/>
        <w:snapToGrid w:val="0"/>
        <w:spacing w:line="360" w:lineRule="auto"/>
        <w:ind w:firstLine="411" w:firstLineChars="196"/>
        <w:rPr>
          <w:rFonts w:ascii="宋体" w:hAnsi="Times New Roman" w:eastAsia="宋体" w:cs="宋体"/>
          <w:kern w:val="0"/>
          <w:szCs w:val="21"/>
        </w:rPr>
      </w:pPr>
      <w:r>
        <w:rPr>
          <w:rFonts w:hint="eastAsia" w:ascii="宋体" w:hAnsi="Times New Roman" w:eastAsia="宋体" w:cs="宋体"/>
          <w:kern w:val="0"/>
          <w:szCs w:val="21"/>
        </w:rPr>
        <w:t>除了按照本通用条款第</w:t>
      </w:r>
      <w:r>
        <w:rPr>
          <w:rFonts w:ascii="宋体" w:hAnsi="Times New Roman" w:eastAsia="宋体" w:cs="宋体"/>
          <w:kern w:val="0"/>
          <w:szCs w:val="21"/>
        </w:rPr>
        <w:t>26条规定原封退回的投标之外，开标时将不得拒绝任何投标书。</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29.3.4  </w:t>
      </w:r>
      <w:r>
        <w:rPr>
          <w:rFonts w:hint="eastAsia" w:ascii="宋体" w:hAnsi="Times New Roman" w:eastAsia="宋体" w:cs="宋体"/>
          <w:kern w:val="0"/>
          <w:szCs w:val="21"/>
        </w:rPr>
        <w:t>开标时，招标机构仅拆封开标信封。如投标供应商未单独密封包装开标信封，招标机构有权拆封投标文件。</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29.3.5  </w:t>
      </w:r>
      <w:r>
        <w:rPr>
          <w:rFonts w:hint="eastAsia" w:ascii="宋体" w:hAnsi="Times New Roman" w:eastAsia="宋体" w:cs="宋体"/>
          <w:kern w:val="0"/>
          <w:szCs w:val="21"/>
        </w:rPr>
        <w:t>按照投标供应商须知第</w:t>
      </w:r>
      <w:r>
        <w:rPr>
          <w:rFonts w:ascii="宋体" w:hAnsi="Times New Roman" w:eastAsia="宋体" w:cs="宋体"/>
          <w:kern w:val="0"/>
          <w:szCs w:val="21"/>
        </w:rPr>
        <w:t>28条规定，提交了可接受的“撤回”通知的投标将不予开封。</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29.3.6  </w:t>
      </w:r>
      <w:r>
        <w:rPr>
          <w:rFonts w:hint="eastAsia" w:ascii="宋体" w:hAnsi="Times New Roman" w:eastAsia="宋体" w:cs="宋体"/>
          <w:kern w:val="0"/>
          <w:szCs w:val="21"/>
        </w:rPr>
        <w:t>无论如何在开标时没有启封和读出的投标书在评标时将不予考虑。撤回的投标书将原封退回投标供应商。</w:t>
      </w:r>
    </w:p>
    <w:p>
      <w:pPr>
        <w:widowControl/>
        <w:shd w:val="clear" w:color="auto" w:fill="FFFFFF"/>
        <w:adjustRightInd w:val="0"/>
        <w:snapToGrid w:val="0"/>
        <w:spacing w:line="360" w:lineRule="auto"/>
        <w:rPr>
          <w:rFonts w:ascii="宋体" w:hAnsi="Times New Roman" w:eastAsia="宋体" w:cs="宋体"/>
          <w:kern w:val="0"/>
          <w:szCs w:val="21"/>
        </w:rPr>
      </w:pPr>
      <w:r>
        <w:rPr>
          <w:rFonts w:ascii="宋体" w:hAnsi="Times New Roman" w:eastAsia="宋体" w:cs="宋体"/>
          <w:kern w:val="0"/>
          <w:szCs w:val="21"/>
        </w:rPr>
        <w:t xml:space="preserve">29.3.7  </w:t>
      </w:r>
      <w:r>
        <w:rPr>
          <w:rFonts w:hint="eastAsia" w:ascii="宋体" w:hAnsi="Times New Roman" w:eastAsia="宋体" w:cs="宋体"/>
          <w:kern w:val="0"/>
          <w:szCs w:val="21"/>
        </w:rPr>
        <w:t>招标机构将做开标记录，开标记录包括按本通用条款第</w:t>
      </w:r>
      <w:r>
        <w:rPr>
          <w:rFonts w:ascii="宋体" w:hAnsi="Times New Roman" w:eastAsia="宋体" w:cs="宋体"/>
          <w:kern w:val="0"/>
          <w:szCs w:val="21"/>
        </w:rPr>
        <w:t>29.3.3的规定在开标时宣读的全部内容。</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29.3.8  </w:t>
      </w:r>
      <w:r>
        <w:rPr>
          <w:rFonts w:hint="eastAsia" w:ascii="宋体" w:hAnsi="Times New Roman" w:eastAsia="宋体" w:cs="宋体"/>
          <w:kern w:val="0"/>
          <w:szCs w:val="24"/>
        </w:rPr>
        <w:t>供应商在开标过程中知道或者应知其权益受到损害时必须现场明确提出，未明确提出的，即视为认可开标结果。</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64" w:name="_Toc529280585"/>
      <w:bookmarkStart w:id="165" w:name="_Toc167352568"/>
      <w:bookmarkStart w:id="166" w:name="_Toc530152526"/>
      <w:bookmarkStart w:id="167" w:name="_Toc14427258"/>
      <w:r>
        <w:rPr>
          <w:rFonts w:hint="eastAsia" w:ascii="宋体" w:hAnsi="Times New Roman" w:eastAsia="宋体" w:cs="Times New Roman"/>
          <w:kern w:val="0"/>
          <w:szCs w:val="20"/>
        </w:rPr>
        <w:t>第五章 评标要求</w:t>
      </w:r>
      <w:bookmarkEnd w:id="164"/>
      <w:bookmarkEnd w:id="165"/>
      <w:bookmarkEnd w:id="166"/>
      <w:bookmarkEnd w:id="167"/>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30．评标委员会组成</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30.1开标结束后召开评标会议，评标委员会由采购代理机构依法组建，负责评标活动。</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评标委员会的组成及行为规范执行《中华人民共和国政府采购法》《中华人民共和国政府采购法实施条例》，评标委员会由采购人代表和有关技术、经济等方面的专家组成，成员人数为</w:t>
      </w:r>
      <w:r>
        <w:rPr>
          <w:rFonts w:ascii="宋体" w:hAnsi="Times New Roman" w:eastAsia="宋体" w:cs="宋体"/>
          <w:kern w:val="0"/>
          <w:szCs w:val="24"/>
        </w:rPr>
        <w:t>5</w:t>
      </w:r>
      <w:r>
        <w:rPr>
          <w:rFonts w:hint="eastAsia" w:ascii="宋体" w:hAnsi="Times New Roman" w:eastAsia="宋体" w:cs="宋体"/>
          <w:kern w:val="0"/>
          <w:szCs w:val="24"/>
        </w:rPr>
        <w:t>人以上（含</w:t>
      </w:r>
      <w:r>
        <w:rPr>
          <w:rFonts w:ascii="宋体" w:hAnsi="Times New Roman" w:eastAsia="宋体" w:cs="宋体"/>
          <w:kern w:val="0"/>
          <w:szCs w:val="24"/>
        </w:rPr>
        <w:t>5</w:t>
      </w:r>
      <w:r>
        <w:rPr>
          <w:rFonts w:hint="eastAsia" w:ascii="宋体" w:hAnsi="Times New Roman" w:eastAsia="宋体" w:cs="宋体"/>
          <w:kern w:val="0"/>
          <w:szCs w:val="24"/>
        </w:rPr>
        <w:t>人）单数，其中技术、经济等方面的专家不少于成员总数的三分之二。</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为保证评委人选的专业性，以及评标中的公平公正性，评标委员会成员从深圳市财政委员会评标专家库中随机抽取。</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采购人代表须持本单位签发的《评标授权书》参加评标。</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采购人无代表参与评标，应在开标前一天提交《采购人不派评委参与项目评标承诺书》给采购代理机构。</w:t>
      </w:r>
    </w:p>
    <w:p>
      <w:pPr>
        <w:widowControl/>
        <w:shd w:val="clear" w:color="auto" w:fill="FFFFFF"/>
        <w:adjustRightInd w:val="0"/>
        <w:snapToGrid w:val="0"/>
        <w:spacing w:line="360" w:lineRule="auto"/>
        <w:rPr>
          <w:rFonts w:ascii="宋体" w:hAnsi="Times New Roman" w:eastAsia="宋体" w:cs="宋体"/>
          <w:kern w:val="0"/>
          <w:sz w:val="24"/>
          <w:szCs w:val="24"/>
        </w:rPr>
      </w:pPr>
      <w:r>
        <w:rPr>
          <w:rFonts w:hint="eastAsia" w:ascii="宋体" w:hAnsi="Times New Roman" w:eastAsia="宋体" w:cs="宋体"/>
          <w:kern w:val="0"/>
          <w:szCs w:val="24"/>
        </w:rPr>
        <w:t>注：《评标授权书》《采购人不派评委参与项目评标承诺书》模板由采购代理机构提供</w:t>
      </w:r>
      <w:r>
        <w:rPr>
          <w:rFonts w:hint="eastAsia" w:ascii="宋体" w:hAnsi="Times New Roman" w:eastAsia="宋体" w:cs="宋体"/>
          <w:kern w:val="0"/>
          <w:sz w:val="24"/>
          <w:szCs w:val="24"/>
        </w:rPr>
        <w:t>。</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30.2评标定标应当遵循公平、公正、科学、择优的原则。</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30.3评标活动依法进行，任何单位和个人不得非法干预评标过程和结果。</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30.4评标过程中不允许违背评标程序或采用招标文件未载明的评标方法或评标因素进行评标。</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 xml:space="preserve">30.5 </w:t>
      </w:r>
      <w:r>
        <w:rPr>
          <w:rFonts w:hint="eastAsia" w:ascii="宋体" w:hAnsi="Times New Roman" w:eastAsia="宋体" w:cs="宋体"/>
          <w:kern w:val="0"/>
          <w:szCs w:val="24"/>
        </w:rPr>
        <w:t>开标后，直到授予中标供应商合同为止，凡属于对投标文件的审查、澄清、评价和比较的有关资料以及中标候选人的推荐情况、与评标有关的其他任何情况均严格保密。</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31．向评标委员会提供的资料</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31.1公开发布的招标文件，包括图纸、服务清单、答疑文件等；</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31.2其他评标必须的资料。</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31.3评标委员会应当认真研究招标文件，至少应了解熟悉以下</w:t>
      </w:r>
      <w:r>
        <w:rPr>
          <w:rFonts w:hint="eastAsia" w:ascii="宋体" w:hAnsi="Times New Roman" w:eastAsia="宋体" w:cs="宋体"/>
          <w:kern w:val="0"/>
          <w:szCs w:val="24"/>
        </w:rPr>
        <w:t>内容：</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（1）招标的目的；</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（2）招标项目需求的范围和性质；</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（3）招标文件规定的投标供应商的资格、财政预算限额、商务条款；</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（4）招标文件规定的评标程序、评标方法和评标因素；</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（5）招标文件所列示的投标文件“资格、符合性评审条款”。</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32．独立评标</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4"/>
        </w:rPr>
        <w:t>32.1评标委员会成员的评标活动应当独立进行，并应遵循投标文件初审、澄清有关问题、比较与评价、确定中标候选供应商、编写评标报告的工作程序。</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68" w:name="_Toc14427259"/>
      <w:bookmarkStart w:id="169" w:name="_Toc529280586"/>
      <w:bookmarkStart w:id="170" w:name="_Toc167352569"/>
      <w:bookmarkStart w:id="171" w:name="_Toc530152527"/>
      <w:r>
        <w:rPr>
          <w:rFonts w:hint="eastAsia" w:ascii="宋体" w:hAnsi="Times New Roman" w:eastAsia="宋体" w:cs="Times New Roman"/>
          <w:kern w:val="0"/>
          <w:szCs w:val="20"/>
        </w:rPr>
        <w:t>第六章 评标程序及评标方法</w:t>
      </w:r>
      <w:bookmarkEnd w:id="168"/>
      <w:bookmarkEnd w:id="169"/>
      <w:bookmarkEnd w:id="170"/>
      <w:bookmarkEnd w:id="171"/>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33．投标文件初审</w:t>
      </w:r>
    </w:p>
    <w:p>
      <w:pPr>
        <w:autoSpaceDE w:val="0"/>
        <w:autoSpaceDN w:val="0"/>
        <w:adjustRightInd w:val="0"/>
        <w:snapToGrid w:val="0"/>
        <w:spacing w:line="360" w:lineRule="auto"/>
        <w:rPr>
          <w:rFonts w:ascii="宋体" w:hAnsi="Times New Roman" w:eastAsia="宋体" w:cs="黑体"/>
          <w:b/>
          <w:bCs/>
          <w:kern w:val="0"/>
          <w:szCs w:val="21"/>
        </w:rPr>
      </w:pPr>
      <w:r>
        <w:rPr>
          <w:rFonts w:hint="eastAsia" w:ascii="宋体" w:hAnsi="Times New Roman" w:eastAsia="宋体" w:cs="宋体"/>
          <w:kern w:val="0"/>
          <w:szCs w:val="24"/>
        </w:rPr>
        <w:t xml:space="preserve">33.1 </w:t>
      </w:r>
      <w:r>
        <w:rPr>
          <w:rFonts w:hint="eastAsia" w:ascii="宋体" w:hAnsi="Times New Roman" w:eastAsia="宋体" w:cs="宋体"/>
          <w:kern w:val="0"/>
          <w:szCs w:val="21"/>
          <w:lang w:eastAsia="zh-TW"/>
        </w:rPr>
        <w:t>评标委员会将</w:t>
      </w:r>
      <w:r>
        <w:rPr>
          <w:rFonts w:hint="eastAsia" w:ascii="宋体" w:hAnsi="Times New Roman" w:eastAsia="宋体" w:cs="宋体"/>
          <w:kern w:val="0"/>
          <w:szCs w:val="21"/>
        </w:rPr>
        <w:t>依法对投标文件进行初审。</w:t>
      </w:r>
      <w:r>
        <w:rPr>
          <w:rFonts w:hint="eastAsia" w:ascii="宋体" w:hAnsi="Times New Roman" w:eastAsia="宋体" w:cs="宋体"/>
          <w:kern w:val="0"/>
          <w:szCs w:val="24"/>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widowControl/>
        <w:shd w:val="clear" w:color="auto" w:fill="FFFFFF"/>
        <w:adjustRightInd w:val="0"/>
        <w:snapToGrid w:val="0"/>
        <w:spacing w:line="360" w:lineRule="auto"/>
        <w:rPr>
          <w:rFonts w:ascii="宋体" w:hAnsi="Times New Roman" w:eastAsia="宋体" w:cs="宋体"/>
          <w:b/>
          <w:kern w:val="0"/>
          <w:szCs w:val="24"/>
        </w:rPr>
      </w:pPr>
      <w:r>
        <w:rPr>
          <w:rFonts w:hint="eastAsia" w:ascii="宋体" w:hAnsi="Times New Roman" w:eastAsia="宋体" w:cs="宋体"/>
          <w:kern w:val="0"/>
          <w:szCs w:val="24"/>
        </w:rPr>
        <w:t>33.2 投标文件初审内容请详见“</w:t>
      </w:r>
      <w:r>
        <w:rPr>
          <w:rFonts w:hint="eastAsia" w:ascii="宋体" w:hAnsi="Times New Roman" w:eastAsia="宋体" w:cs="宋体"/>
          <w:b/>
          <w:kern w:val="0"/>
          <w:szCs w:val="24"/>
        </w:rPr>
        <w:t>资格、符合性评审条款</w:t>
      </w:r>
      <w:r>
        <w:rPr>
          <w:rFonts w:hint="eastAsia" w:ascii="宋体" w:hAnsi="Times New Roman" w:eastAsia="宋体" w:cs="宋体"/>
          <w:kern w:val="0"/>
          <w:szCs w:val="24"/>
        </w:rPr>
        <w:t>”。投标供应商若有一条审查不通过则按无效标处理。评标委员会对投标单位打√为通过审查，打×为未通过审查。</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33.3 投标文件初审中关于供应商家数的计算。</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33.3.</w:t>
      </w:r>
      <w:r>
        <w:rPr>
          <w:rFonts w:hint="eastAsia" w:ascii="宋体" w:hAnsi="Times New Roman" w:eastAsia="宋体" w:cs="宋体"/>
          <w:kern w:val="0"/>
          <w:szCs w:val="24"/>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0"/>
          <w:szCs w:val="24"/>
        </w:rPr>
        <w:t>33.3.</w:t>
      </w:r>
      <w:r>
        <w:rPr>
          <w:rFonts w:hint="eastAsia" w:ascii="宋体" w:hAnsi="Times New Roman" w:eastAsia="宋体" w:cs="宋体"/>
          <w:kern w:val="0"/>
          <w:szCs w:val="24"/>
        </w:rPr>
        <w:t>3非单一产品采购项目，采购人应当根据采购项目技术构成、产品价格比重等合理确定核心产品，并在招标文件中载明。多家投标供应商提供的核心产品品牌相同的，按前两款规定处理。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33.3.4公开招标以外采购方式以及采购服务和工程涉及采购货物的项目，也按此方法计算供应商家数。</w:t>
      </w:r>
    </w:p>
    <w:p>
      <w:pPr>
        <w:widowControl/>
        <w:shd w:val="clear" w:color="auto" w:fill="FFFFFF"/>
        <w:adjustRightInd w:val="0"/>
        <w:snapToGrid w:val="0"/>
        <w:spacing w:line="360" w:lineRule="auto"/>
        <w:rPr>
          <w:rFonts w:ascii="宋体" w:hAnsi="Times New Roman" w:eastAsia="宋体" w:cs="宋体"/>
          <w:b/>
          <w:bCs/>
          <w:kern w:val="0"/>
          <w:szCs w:val="24"/>
        </w:rPr>
      </w:pPr>
      <w:r>
        <w:rPr>
          <w:rFonts w:hint="eastAsia" w:ascii="宋体" w:hAnsi="Times New Roman" w:eastAsia="宋体" w:cs="宋体"/>
          <w:kern w:val="0"/>
          <w:szCs w:val="24"/>
        </w:rPr>
        <w:t>33.4 对不属于投标文件“</w:t>
      </w:r>
      <w:r>
        <w:rPr>
          <w:rFonts w:hint="eastAsia" w:ascii="宋体" w:hAnsi="Times New Roman" w:eastAsia="宋体" w:cs="宋体"/>
          <w:b/>
          <w:kern w:val="0"/>
          <w:szCs w:val="24"/>
        </w:rPr>
        <w:t>资格、符合性评审条款</w:t>
      </w:r>
      <w:r>
        <w:rPr>
          <w:rFonts w:hint="eastAsia" w:ascii="宋体" w:hAnsi="Times New Roman" w:eastAsia="宋体" w:cs="宋体"/>
          <w:kern w:val="0"/>
          <w:szCs w:val="24"/>
        </w:rPr>
        <w:t>”要所列不符合的情形，除法律法规另有规定外，不得作为废标的理由。</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34．澄清有关问题</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35．错误的修正</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w:t>
      </w:r>
      <w:r>
        <w:rPr>
          <w:rFonts w:ascii="宋体" w:hAnsi="Times New Roman" w:eastAsia="宋体" w:cs="宋体"/>
          <w:kern w:val="0"/>
          <w:szCs w:val="24"/>
        </w:rPr>
        <w:t xml:space="preserve">.1 </w:t>
      </w:r>
      <w:r>
        <w:rPr>
          <w:rFonts w:hint="eastAsia" w:ascii="宋体" w:hAnsi="Times New Roman" w:eastAsia="宋体" w:cs="宋体"/>
          <w:kern w:val="0"/>
          <w:szCs w:val="24"/>
        </w:rPr>
        <w:t>评标委员会将审查投标文件是否完整、总体编排是否有序、文件签署是否合格、投标供应商是否提交了投标保证金、有无计算上的错误等。</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35.2  算术错误将按以下方法更正（次序排先者优先）：</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35.2.1投标文件中开标一览表（报价表）内容与投标文件中相应内容不一致的，以开标一览表（报价表）为准；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35.2.2大写金额和小写金额不一致的，以大写金额为准；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35.2.3单价金额小数点或者百分比有明显错位的，以开标一览表的总价为准，并修改单价；</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35.2.4总价金额与按单价汇总金额不一致的，以单价金额计算结果为准；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35.2.5 对不同文字文本投标文件的解释发生异议的，以中文文本为准。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w:t>
      </w:r>
      <w:r>
        <w:rPr>
          <w:rFonts w:ascii="宋体" w:hAnsi="Times New Roman" w:eastAsia="宋体" w:cs="宋体"/>
          <w:kern w:val="0"/>
          <w:szCs w:val="24"/>
        </w:rPr>
        <w:t xml:space="preserve">.3  </w:t>
      </w:r>
      <w:r>
        <w:rPr>
          <w:rFonts w:hint="eastAsia" w:ascii="宋体" w:hAnsi="Times New Roman" w:eastAsia="宋体" w:cs="宋体"/>
          <w:kern w:val="0"/>
          <w:szCs w:val="24"/>
        </w:rPr>
        <w:t>对于投标文件中不构成实质性偏差的不正规、不一致或不规则，给评审带来不便，评标委员会可以接受。</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35.4  投标供应商的投标报价是可变动价格的，或包含了价格调整要求的，或投标报价中提供</w:t>
      </w:r>
      <w:r>
        <w:rPr>
          <w:rFonts w:ascii="宋体" w:hAnsi="Times New Roman" w:eastAsia="宋体" w:cs="宋体"/>
          <w:kern w:val="0"/>
          <w:szCs w:val="24"/>
        </w:rPr>
        <w:t>两个</w:t>
      </w:r>
      <w:r>
        <w:rPr>
          <w:rFonts w:hint="eastAsia" w:ascii="宋体" w:hAnsi="Times New Roman" w:eastAsia="宋体" w:cs="宋体"/>
          <w:kern w:val="0"/>
          <w:szCs w:val="24"/>
        </w:rPr>
        <w:t>（含两个）以上的</w:t>
      </w:r>
      <w:r>
        <w:rPr>
          <w:rFonts w:ascii="宋体" w:hAnsi="Times New Roman" w:eastAsia="宋体" w:cs="宋体"/>
          <w:kern w:val="0"/>
          <w:szCs w:val="24"/>
        </w:rPr>
        <w:t>报价</w:t>
      </w:r>
      <w:r>
        <w:rPr>
          <w:rFonts w:hint="eastAsia" w:ascii="宋体" w:hAnsi="Times New Roman" w:eastAsia="宋体" w:cs="宋体"/>
          <w:kern w:val="0"/>
          <w:szCs w:val="24"/>
        </w:rPr>
        <w:t>（</w:t>
      </w:r>
      <w:r>
        <w:rPr>
          <w:rFonts w:ascii="宋体" w:hAnsi="Times New Roman" w:eastAsia="宋体" w:cs="宋体"/>
          <w:kern w:val="0"/>
          <w:szCs w:val="24"/>
        </w:rPr>
        <w:t>招标文件规定提交备选投标方案的除外</w:t>
      </w:r>
      <w:r>
        <w:rPr>
          <w:rFonts w:hint="eastAsia" w:ascii="宋体" w:hAnsi="Times New Roman" w:eastAsia="宋体" w:cs="宋体"/>
          <w:kern w:val="0"/>
          <w:szCs w:val="24"/>
        </w:rPr>
        <w:t>），或严重漏项，评标委员会无法进行判断的，评标委员会可以作无效标处理。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35.5根据上述修正错误的原则及方法调整或修正投标文件的投标报价，投标供应商同意后，调整后的投标报价对投标供应商起约束作用。</w:t>
      </w:r>
      <w:r>
        <w:rPr>
          <w:rFonts w:hint="eastAsia" w:ascii="宋体" w:hAnsi="Times New Roman" w:eastAsia="宋体" w:cs="宋体"/>
          <w:bCs/>
          <w:kern w:val="0"/>
          <w:szCs w:val="24"/>
        </w:rPr>
        <w:t>如果投标供应商不接受修正后的报价，则其投标将被拒绝并且其投标保证金也将被没收，并不影响评标工作。</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36．投标文件的比较与评价</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36.1评标委员会将参照相关法律、法规、规定，仅对通过资格性审查和符合性审查的投标文件进行综合比较与评价。</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bCs/>
          <w:kern w:val="0"/>
          <w:szCs w:val="24"/>
        </w:rPr>
        <w:t xml:space="preserve">36.2  </w:t>
      </w:r>
      <w:r>
        <w:rPr>
          <w:rFonts w:hint="eastAsia" w:ascii="宋体" w:hAnsi="Times New Roman" w:eastAsia="宋体" w:cs="宋体"/>
          <w:kern w:val="0"/>
          <w:szCs w:val="24"/>
        </w:rPr>
        <w:t>评标委员会应当根据招标文件，审查并逐项列出投标文件的全部投标偏离。投标偏离分为重大偏离和细微偏离。</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36.3 评标委员会应当对投标供应商的投标文件进行分析和比较。</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36.4  评标委员会应当根据招标文件规定，对投标文件中的每项评审内容进行评审。</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36.5  投标文件存在重大偏离的，应作废标处理。下列情况属于重大偏离：</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36.5.1  投标供应商以他人的名义投标或出现下列串通投标、弄虚作假投标嫌疑的：</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 xml:space="preserve">36.5.1.1  </w:t>
      </w:r>
      <w:r>
        <w:rPr>
          <w:rFonts w:ascii="宋体" w:hAnsi="Times New Roman" w:eastAsia="宋体" w:cs="宋体"/>
          <w:kern w:val="10"/>
          <w:szCs w:val="24"/>
        </w:rPr>
        <w:t>不同投标供应商的投标文件内容存在非正常一致</w:t>
      </w:r>
      <w:r>
        <w:rPr>
          <w:rFonts w:hint="eastAsia" w:ascii="宋体" w:hAnsi="Times New Roman" w:eastAsia="宋体" w:cs="宋体"/>
          <w:kern w:val="10"/>
          <w:szCs w:val="24"/>
        </w:rPr>
        <w:t>的</w:t>
      </w:r>
      <w:r>
        <w:rPr>
          <w:rFonts w:ascii="宋体" w:hAnsi="Times New Roman" w:eastAsia="宋体" w:cs="宋体"/>
          <w:kern w:val="10"/>
          <w:szCs w:val="24"/>
        </w:rPr>
        <w:t>；</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 xml:space="preserve">36.5.1.2  </w:t>
      </w:r>
      <w:r>
        <w:rPr>
          <w:rFonts w:ascii="宋体" w:hAnsi="Times New Roman" w:eastAsia="宋体" w:cs="宋体"/>
          <w:kern w:val="10"/>
          <w:szCs w:val="24"/>
        </w:rPr>
        <w:t>不同投标供应商的投标文件错漏之处一致的；</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 xml:space="preserve">36.5.1.3  </w:t>
      </w:r>
      <w:r>
        <w:rPr>
          <w:rFonts w:ascii="宋体" w:hAnsi="Times New Roman" w:eastAsia="宋体" w:cs="宋体"/>
          <w:kern w:val="10"/>
          <w:szCs w:val="24"/>
        </w:rPr>
        <w:t>不同投标供应商的投标报价或者报价组成异常一致或者呈规律性变化的；</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 xml:space="preserve">36.5.1.4  </w:t>
      </w:r>
      <w:r>
        <w:rPr>
          <w:rFonts w:ascii="宋体" w:hAnsi="Times New Roman" w:eastAsia="宋体" w:cs="宋体"/>
          <w:kern w:val="10"/>
          <w:szCs w:val="24"/>
        </w:rPr>
        <w:t>不同投标供应商的投标文件由同一单位或者同一个人编制的；</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 xml:space="preserve">36.5.1.5  </w:t>
      </w:r>
      <w:r>
        <w:rPr>
          <w:rFonts w:ascii="宋体" w:hAnsi="Times New Roman" w:eastAsia="宋体" w:cs="宋体"/>
          <w:kern w:val="10"/>
          <w:szCs w:val="24"/>
        </w:rPr>
        <w:t>不同投标供应商的投标文件载明的</w:t>
      </w:r>
      <w:r>
        <w:rPr>
          <w:rFonts w:hint="eastAsia" w:ascii="宋体" w:hAnsi="Times New Roman" w:eastAsia="宋体" w:cs="宋体"/>
          <w:kern w:val="10"/>
          <w:szCs w:val="24"/>
        </w:rPr>
        <w:t>项目负责人与主要技术人员</w:t>
      </w:r>
      <w:r>
        <w:rPr>
          <w:rFonts w:ascii="宋体" w:hAnsi="Times New Roman" w:eastAsia="宋体" w:cs="宋体"/>
          <w:kern w:val="10"/>
          <w:szCs w:val="24"/>
        </w:rPr>
        <w:t>出现同一人的；</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 xml:space="preserve">36.5.1.6  </w:t>
      </w:r>
      <w:r>
        <w:rPr>
          <w:rFonts w:ascii="宋体" w:hAnsi="Times New Roman" w:eastAsia="宋体" w:cs="宋体"/>
          <w:kern w:val="10"/>
          <w:szCs w:val="24"/>
        </w:rPr>
        <w:t>不同投标供应商的投标文件相互混装的；</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 xml:space="preserve">36.5.1.7  </w:t>
      </w:r>
      <w:r>
        <w:rPr>
          <w:rFonts w:ascii="宋体" w:hAnsi="Times New Roman" w:eastAsia="宋体" w:cs="宋体"/>
          <w:kern w:val="10"/>
          <w:szCs w:val="24"/>
        </w:rPr>
        <w:t>不同投标供应商委托同一人投标的</w:t>
      </w:r>
      <w:r>
        <w:rPr>
          <w:rFonts w:hint="eastAsia" w:ascii="宋体" w:hAnsi="Times New Roman" w:eastAsia="宋体" w:cs="宋体"/>
          <w:kern w:val="10"/>
          <w:szCs w:val="24"/>
        </w:rPr>
        <w:t>；</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36.5.1.8  不同投标供应商聘请同一人为其投标提供技术或者经济咨询服务的，但招标工程本身要求采用专有技术的除外；</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 xml:space="preserve">36.5.1.9  </w:t>
      </w:r>
      <w:r>
        <w:rPr>
          <w:rFonts w:ascii="宋体" w:hAnsi="Times New Roman" w:eastAsia="宋体" w:cs="宋体"/>
          <w:kern w:val="10"/>
          <w:szCs w:val="24"/>
        </w:rPr>
        <w:t>评标委员会认定的其他串通投标情形。</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10"/>
          <w:szCs w:val="24"/>
        </w:rPr>
        <w:t xml:space="preserve">36.5.2 </w:t>
      </w:r>
      <w:r>
        <w:rPr>
          <w:rFonts w:hint="eastAsia" w:ascii="宋体" w:hAnsi="Times New Roman" w:eastAsia="宋体" w:cs="宋体"/>
          <w:kern w:val="0"/>
          <w:szCs w:val="24"/>
        </w:rPr>
        <w:t xml:space="preserve"> 投标文件不满足招标文件规定的任何一项实质性要求的；</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bCs/>
          <w:kern w:val="10"/>
          <w:szCs w:val="24"/>
        </w:rPr>
        <w:t xml:space="preserve">36.5.3 </w:t>
      </w:r>
      <w:r>
        <w:rPr>
          <w:rFonts w:hint="eastAsia" w:ascii="宋体" w:hAnsi="Times New Roman" w:eastAsia="宋体" w:cs="宋体"/>
          <w:kern w:val="0"/>
          <w:szCs w:val="24"/>
        </w:rPr>
        <w:t xml:space="preserve"> 投标文件对招标文件规定的非实质性要求的偏离，超出允许偏离的最大范围或最高项数的；</w:t>
      </w:r>
    </w:p>
    <w:p>
      <w:pPr>
        <w:widowControl/>
        <w:shd w:val="clear" w:color="auto" w:fill="FFFFFF"/>
        <w:adjustRightInd w:val="0"/>
        <w:snapToGrid w:val="0"/>
        <w:spacing w:line="360" w:lineRule="auto"/>
        <w:rPr>
          <w:rFonts w:ascii="宋体" w:hAnsi="Times New Roman" w:eastAsia="宋体" w:cs="宋体"/>
          <w:kern w:val="0"/>
          <w:szCs w:val="24"/>
        </w:rPr>
      </w:pPr>
      <w:r>
        <w:rPr>
          <w:rFonts w:ascii="宋体" w:hAnsi="Times New Roman" w:eastAsia="宋体" w:cs="宋体"/>
          <w:kern w:val="10"/>
          <w:szCs w:val="24"/>
        </w:rPr>
        <w:t>3</w:t>
      </w:r>
      <w:r>
        <w:rPr>
          <w:rFonts w:hint="eastAsia" w:ascii="宋体" w:hAnsi="Times New Roman" w:eastAsia="宋体" w:cs="宋体"/>
          <w:kern w:val="10"/>
          <w:szCs w:val="24"/>
        </w:rPr>
        <w:t>6</w:t>
      </w:r>
      <w:r>
        <w:rPr>
          <w:rFonts w:ascii="宋体" w:hAnsi="Times New Roman" w:eastAsia="宋体" w:cs="宋体"/>
          <w:kern w:val="10"/>
          <w:szCs w:val="24"/>
        </w:rPr>
        <w:t>.5.</w:t>
      </w:r>
      <w:r>
        <w:rPr>
          <w:rFonts w:hint="eastAsia" w:ascii="宋体" w:hAnsi="Times New Roman" w:eastAsia="宋体" w:cs="宋体"/>
          <w:kern w:val="10"/>
          <w:szCs w:val="24"/>
        </w:rPr>
        <w:t xml:space="preserve">4 </w:t>
      </w:r>
      <w:r>
        <w:rPr>
          <w:rFonts w:hint="eastAsia" w:ascii="宋体" w:hAnsi="Times New Roman" w:eastAsia="宋体" w:cs="宋体"/>
          <w:kern w:val="0"/>
          <w:szCs w:val="24"/>
        </w:rPr>
        <w:t xml:space="preserve"> 评标委员会根据招标文件的规定对投标文件的投标价格进行调整，投标供应商不接受调整方式的，或不接受调整后的价格的；</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widowControl/>
        <w:shd w:val="clear" w:color="auto" w:fill="FFFFFF"/>
        <w:adjustRightInd w:val="0"/>
        <w:snapToGrid w:val="0"/>
        <w:spacing w:line="360" w:lineRule="auto"/>
        <w:rPr>
          <w:rFonts w:ascii="宋体" w:hAnsi="Times New Roman" w:eastAsia="宋体" w:cs="宋体"/>
          <w:kern w:val="10"/>
          <w:szCs w:val="24"/>
        </w:rPr>
      </w:pPr>
      <w:r>
        <w:rPr>
          <w:rFonts w:hint="eastAsia" w:ascii="宋体" w:hAnsi="Times New Roman" w:eastAsia="宋体" w:cs="宋体"/>
          <w:kern w:val="10"/>
          <w:szCs w:val="24"/>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37.实地考察、演示或设备测试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37.1在招标过程中，评标委员会有权决定是否对本项目投标供应商进行现场勘察或实地考察或检验有关证明材料的原件。投标供应商应随时做好接受检查的准备。</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37.2若招标文件要求进行现场演示或设备测试的，投标供应商应做好相应准备。</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38．评标方法</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1"/>
        </w:rPr>
        <w:t>38.1</w:t>
      </w:r>
      <w:r>
        <w:rPr>
          <w:rFonts w:hint="eastAsia" w:ascii="宋体" w:hAnsi="Times New Roman" w:eastAsia="宋体" w:cs="宋体"/>
          <w:kern w:val="0"/>
          <w:szCs w:val="24"/>
        </w:rPr>
        <w:t>根据有关要求，</w:t>
      </w:r>
      <w:r>
        <w:rPr>
          <w:rFonts w:hint="eastAsia" w:ascii="宋体" w:hAnsi="Times New Roman" w:eastAsia="宋体" w:cs="宋体"/>
          <w:kern w:val="0"/>
          <w:szCs w:val="21"/>
        </w:rPr>
        <w:t>项目评标方法根据是否是评定分离项目进行选择。</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38.2非评定分离项目</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非评定分离项目评分方法为最低评标价法、综合评标法、性价比法及法律、法规允许的其它评标办法。</w:t>
      </w:r>
    </w:p>
    <w:p>
      <w:pPr>
        <w:widowControl/>
        <w:shd w:val="clear" w:color="auto" w:fill="FFFFFF"/>
        <w:adjustRightInd w:val="0"/>
        <w:snapToGrid w:val="0"/>
        <w:spacing w:line="360" w:lineRule="auto"/>
        <w:rPr>
          <w:rFonts w:ascii="宋体" w:hAnsi="Times New Roman" w:eastAsia="宋体" w:cs="宋体"/>
          <w:b/>
          <w:kern w:val="0"/>
          <w:szCs w:val="24"/>
        </w:rPr>
      </w:pPr>
      <w:r>
        <w:rPr>
          <w:rFonts w:hint="eastAsia" w:ascii="宋体" w:hAnsi="Times New Roman" w:eastAsia="宋体" w:cs="宋体"/>
          <w:kern w:val="0"/>
          <w:szCs w:val="24"/>
        </w:rPr>
        <w:t>38.2.1最低评标价法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最低价法是指以价格因素确定中标候选供应商的评标方法，即在满足招标文件实质性要求前提下，以报价最低的投标供应商作为中标候选供应商或中标供应商的评标方法；</w:t>
      </w:r>
    </w:p>
    <w:p>
      <w:pPr>
        <w:widowControl/>
        <w:shd w:val="clear" w:color="auto" w:fill="FFFFFF"/>
        <w:adjustRightInd w:val="0"/>
        <w:snapToGrid w:val="0"/>
        <w:spacing w:line="360" w:lineRule="auto"/>
        <w:rPr>
          <w:rFonts w:ascii="宋体" w:hAnsi="Times New Roman" w:eastAsia="宋体" w:cs="宋体"/>
          <w:b/>
          <w:kern w:val="0"/>
          <w:szCs w:val="24"/>
        </w:rPr>
      </w:pPr>
      <w:r>
        <w:rPr>
          <w:rFonts w:hint="eastAsia" w:ascii="宋体" w:hAnsi="Times New Roman" w:eastAsia="宋体" w:cs="宋体"/>
          <w:kern w:val="0"/>
          <w:szCs w:val="24"/>
        </w:rPr>
        <w:t>38.2.2综合评分法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widowControl/>
        <w:shd w:val="clear" w:color="auto" w:fill="FFFFFF"/>
        <w:adjustRightInd w:val="0"/>
        <w:snapToGrid w:val="0"/>
        <w:spacing w:line="360" w:lineRule="auto"/>
        <w:rPr>
          <w:rFonts w:ascii="宋体" w:hAnsi="Times New Roman" w:eastAsia="宋体" w:cs="宋体"/>
          <w:b/>
          <w:bCs/>
          <w:kern w:val="0"/>
          <w:szCs w:val="24"/>
        </w:rPr>
      </w:pPr>
      <w:r>
        <w:rPr>
          <w:rFonts w:hint="eastAsia" w:ascii="宋体" w:hAnsi="Times New Roman" w:eastAsia="宋体" w:cs="宋体"/>
          <w:kern w:val="0"/>
          <w:szCs w:val="24"/>
        </w:rPr>
        <w:t>38.2.3</w:t>
      </w:r>
      <w:r>
        <w:rPr>
          <w:rFonts w:hint="eastAsia" w:ascii="宋体" w:hAnsi="Times New Roman" w:eastAsia="宋体" w:cs="宋体"/>
          <w:bCs/>
          <w:kern w:val="0"/>
          <w:szCs w:val="24"/>
        </w:rPr>
        <w:t>性价比法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性价比法是指除价格因素外，经对投标文件进行评审，计算出评分因素的总分，除以投标报价，以商数最高的投标供应商作为中标候选供应商或中标供应商的评标方法。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38.3评定分离项目</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评定分离项目，评审委员会应当按照综合评分法、定性评审法、最低价法或者法律、法规及规章规定的其他评审方法对投标文件进行评审。</w:t>
      </w:r>
    </w:p>
    <w:p>
      <w:pPr>
        <w:widowControl/>
        <w:shd w:val="clear" w:color="auto" w:fill="FFFFFF"/>
        <w:adjustRightInd w:val="0"/>
        <w:snapToGrid w:val="0"/>
        <w:spacing w:line="360" w:lineRule="auto"/>
        <w:rPr>
          <w:rFonts w:ascii="宋体" w:hAnsi="Times New Roman" w:eastAsia="宋体" w:cs="宋体"/>
          <w:b/>
          <w:kern w:val="0"/>
          <w:szCs w:val="24"/>
        </w:rPr>
      </w:pPr>
      <w:r>
        <w:rPr>
          <w:rFonts w:hint="eastAsia" w:ascii="宋体" w:hAnsi="Times New Roman" w:eastAsia="宋体" w:cs="宋体"/>
          <w:kern w:val="0"/>
          <w:szCs w:val="24"/>
        </w:rPr>
        <w:t>38.3.1综合评分法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综合评分法是指在最大限度满足招标文件实质性要求的前提下，按照招标文件中规定的各项因素进行综合评审，评审总得分排名前列的投标供应商，作为推荐的候选中标供应商。</w:t>
      </w:r>
    </w:p>
    <w:p>
      <w:pPr>
        <w:widowControl/>
        <w:shd w:val="clear" w:color="auto" w:fill="FFFFFF"/>
        <w:adjustRightInd w:val="0"/>
        <w:snapToGrid w:val="0"/>
        <w:spacing w:line="360" w:lineRule="auto"/>
        <w:rPr>
          <w:rFonts w:ascii="宋体" w:hAnsi="Times New Roman" w:eastAsia="宋体" w:cs="宋体"/>
          <w:kern w:val="0"/>
          <w:sz w:val="18"/>
          <w:szCs w:val="18"/>
          <w:shd w:val="clear" w:color="auto" w:fill="FFFFFF"/>
        </w:rPr>
      </w:pPr>
      <w:r>
        <w:rPr>
          <w:rFonts w:hint="eastAsia" w:ascii="宋体" w:hAnsi="Times New Roman" w:eastAsia="宋体" w:cs="宋体"/>
          <w:kern w:val="0"/>
          <w:szCs w:val="24"/>
        </w:rPr>
        <w:t>38.3.2</w:t>
      </w:r>
      <w:r>
        <w:rPr>
          <w:rFonts w:hint="eastAsia" w:ascii="宋体" w:hAnsi="Times New Roman" w:eastAsia="宋体" w:cs="宋体"/>
          <w:bCs/>
          <w:kern w:val="0"/>
          <w:szCs w:val="24"/>
        </w:rPr>
        <w:t>定性评审法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38.3.3最低价法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最低价法是指以价格为主要因素确定候选中标供应商的评审方法。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38.4本项目采用的评标方法见本项目招标文件专用条款的相关内容。</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72" w:name="_Toc14427260"/>
      <w:bookmarkStart w:id="173" w:name="_Toc530152528"/>
      <w:bookmarkStart w:id="174" w:name="_Toc167352570"/>
      <w:bookmarkStart w:id="175" w:name="_Toc529280587"/>
      <w:r>
        <w:rPr>
          <w:rFonts w:hint="eastAsia" w:ascii="宋体" w:hAnsi="Times New Roman" w:eastAsia="宋体" w:cs="Times New Roman"/>
          <w:kern w:val="0"/>
          <w:szCs w:val="20"/>
        </w:rPr>
        <w:t>第七章 定标及公示</w:t>
      </w:r>
      <w:bookmarkEnd w:id="172"/>
      <w:bookmarkEnd w:id="173"/>
      <w:bookmarkEnd w:id="174"/>
      <w:bookmarkEnd w:id="175"/>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39．定标方法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1项目定标方法根据是否是评定分离项目进行选择。</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2非评定分离项目</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评标委员会依据本项目招标文件所约定的评标方法进行评审和比较，向采购代理机构提交书面评标报告，并根据评标方法比较评价结果从优到劣进行排序，并推荐中标候选人或确定中标供应商；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2.2</w:t>
      </w:r>
      <w:r>
        <w:rPr>
          <w:rFonts w:ascii="宋体" w:hAnsi="Times New Roman" w:eastAsia="宋体" w:cs="宋体"/>
          <w:kern w:val="0"/>
          <w:szCs w:val="24"/>
        </w:rPr>
        <w:t>采用综合评</w:t>
      </w:r>
      <w:r>
        <w:rPr>
          <w:rFonts w:hint="eastAsia" w:ascii="宋体" w:hAnsi="Times New Roman" w:eastAsia="宋体" w:cs="宋体"/>
          <w:kern w:val="0"/>
          <w:szCs w:val="24"/>
        </w:rPr>
        <w:t>分</w:t>
      </w:r>
      <w:r>
        <w:rPr>
          <w:rFonts w:ascii="宋体" w:hAnsi="Times New Roman" w:eastAsia="宋体" w:cs="宋体"/>
          <w:kern w:val="0"/>
          <w:szCs w:val="24"/>
        </w:rPr>
        <w:t>法的，按评审后得分由高到低顺序排列。得分相同的，按投标报价由低到高顺序排列。得分且投标报价相同的，按技术指标优劣顺序排列。</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2.3</w:t>
      </w:r>
      <w:r>
        <w:rPr>
          <w:rFonts w:ascii="宋体" w:hAnsi="Times New Roman" w:eastAsia="宋体" w:cs="宋体"/>
          <w:kern w:val="0"/>
          <w:szCs w:val="24"/>
        </w:rPr>
        <w:t>采用</w:t>
      </w:r>
      <w:r>
        <w:rPr>
          <w:rFonts w:hint="eastAsia" w:ascii="宋体" w:hAnsi="Times New Roman" w:eastAsia="宋体" w:cs="宋体"/>
          <w:kern w:val="0"/>
          <w:szCs w:val="24"/>
        </w:rPr>
        <w:t>性价比</w:t>
      </w:r>
      <w:r>
        <w:rPr>
          <w:rFonts w:ascii="宋体" w:hAnsi="Times New Roman" w:eastAsia="宋体" w:cs="宋体"/>
          <w:kern w:val="0"/>
          <w:szCs w:val="24"/>
        </w:rPr>
        <w:t>法的</w:t>
      </w:r>
      <w:r>
        <w:rPr>
          <w:rFonts w:hint="eastAsia" w:ascii="宋体" w:hAnsi="Times New Roman" w:eastAsia="宋体" w:cs="宋体"/>
          <w:kern w:val="0"/>
          <w:szCs w:val="24"/>
        </w:rPr>
        <w:t>，按商数得分由高到低顺序排列。商数得分相同的，按投标报价由低到高顺序排列。商数得分且投标报价相同的，按技术指标优劣顺序排列。</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3评定分离项目</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适用评定分离的采购项目，采购人应当根据不同的项目选用自定法、抽签法、竞价法或者法律、法规及规章规定的其他定标方法确定中标供应商。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3.1自定法是指采购人组织定标委员会，由定标委员会在候选中标供应商中确定中标供应商。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3.2 抽签法是指候选中标供应商产生后，由采购人委托招标机构按照随机抽签的方式在候选中标供应商中确定中标供应商。 </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w:t>
      </w:r>
      <w:r>
        <w:rPr>
          <w:rFonts w:ascii="宋体" w:hAnsi="Times New Roman" w:eastAsia="宋体" w:cs="宋体"/>
          <w:kern w:val="0"/>
          <w:szCs w:val="24"/>
        </w:rPr>
        <w:t>.</w:t>
      </w:r>
      <w:r>
        <w:rPr>
          <w:rFonts w:hint="eastAsia" w:ascii="宋体" w:hAnsi="Times New Roman" w:eastAsia="宋体" w:cs="宋体"/>
          <w:kern w:val="0"/>
          <w:szCs w:val="24"/>
        </w:rPr>
        <w:t>3.3竞价法是指候选中标供应商产生后，由采购人委托招标机构组织候选中标供应商进行二次竞价，最终报价最低的为中标供应商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39.4本项目采用的定标方法见本项目招标文件专用条款的相关内容。</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40．编写评标报告</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41．中标公告</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41.1为体现“公开、公平、公正”的原则，评标结束后，将在深圳海关后勤管理中心门户网  （</w:t>
      </w:r>
      <w:r>
        <w:fldChar w:fldCharType="begin"/>
      </w:r>
      <w:r>
        <w:instrText xml:space="preserve"> HYPERLINK "http://shenzhen.customs.gov.cn" </w:instrText>
      </w:r>
      <w:r>
        <w:fldChar w:fldCharType="separate"/>
      </w:r>
      <w:r>
        <w:rPr>
          <w:rFonts w:ascii="宋体" w:hAnsi="Times New Roman" w:eastAsia="宋体" w:cs="宋体"/>
          <w:kern w:val="0"/>
          <w:szCs w:val="24"/>
        </w:rPr>
        <w:t>http://shenzhen.customs.gov.cn</w:t>
      </w:r>
      <w:r>
        <w:rPr>
          <w:rFonts w:ascii="宋体" w:hAnsi="Times New Roman" w:eastAsia="宋体" w:cs="宋体"/>
          <w:kern w:val="0"/>
          <w:szCs w:val="24"/>
        </w:rPr>
        <w:fldChar w:fldCharType="end"/>
      </w:r>
      <w:r>
        <w:rPr>
          <w:rFonts w:hint="eastAsia" w:ascii="宋体" w:hAnsi="Times New Roman" w:eastAsia="宋体" w:cs="宋体"/>
          <w:kern w:val="0"/>
          <w:szCs w:val="24"/>
        </w:rPr>
        <w:t>）、采购代理机构官网：（</w:t>
      </w:r>
      <w:r>
        <w:rPr>
          <w:rFonts w:ascii="宋体" w:hAnsi="Times New Roman" w:eastAsia="宋体" w:cs="宋体"/>
          <w:kern w:val="0"/>
          <w:szCs w:val="24"/>
        </w:rPr>
        <w:t>http://www.szsszx.com/</w:t>
      </w:r>
      <w:r>
        <w:rPr>
          <w:rFonts w:hint="eastAsia" w:ascii="宋体" w:hAnsi="Times New Roman" w:eastAsia="宋体" w:cs="宋体"/>
          <w:kern w:val="0"/>
          <w:szCs w:val="24"/>
        </w:rPr>
        <w:t>）上发布中标结果公告， 公示期为1个工作日。供应商如对评标结果有异议，请于公示期内，以书面的形式向我公司反映。若在公示期内未提出异议，则视为认同该评标结果。</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41.2质疑投诉人应保证质疑投诉内容的真实性和可靠性，并承担相应的法律责任。</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42．中标通知书</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42</w:t>
      </w:r>
      <w:r>
        <w:rPr>
          <w:rFonts w:ascii="宋体" w:hAnsi="Times New Roman" w:eastAsia="宋体" w:cs="宋体"/>
          <w:kern w:val="0"/>
          <w:szCs w:val="24"/>
        </w:rPr>
        <w:t>.</w:t>
      </w:r>
      <w:r>
        <w:rPr>
          <w:rFonts w:hint="eastAsia" w:ascii="宋体" w:hAnsi="Times New Roman" w:eastAsia="宋体" w:cs="宋体"/>
          <w:kern w:val="0"/>
          <w:szCs w:val="24"/>
        </w:rPr>
        <w:t>1中标公告公布后,公示期内无人投诉,请中标供应商凭单位证明及本人身份证到采购代理机构领取《中标通知书》。</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42</w:t>
      </w:r>
      <w:r>
        <w:rPr>
          <w:rFonts w:ascii="宋体" w:hAnsi="Times New Roman" w:eastAsia="宋体" w:cs="宋体"/>
          <w:kern w:val="0"/>
          <w:szCs w:val="24"/>
        </w:rPr>
        <w:t>.2</w:t>
      </w:r>
      <w:r>
        <w:rPr>
          <w:rFonts w:hint="eastAsia" w:ascii="宋体" w:hAnsi="Times New Roman" w:eastAsia="宋体" w:cs="宋体"/>
          <w:kern w:val="0"/>
          <w:szCs w:val="24"/>
        </w:rPr>
        <w:t>中标通知书是合同的重要组成部分。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42.3因质疑投诉或其它原因导致项目结果变更或采购终止的，我公司有权收回中标通知书或终止采购合同。</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76" w:name="_Toc14427261"/>
      <w:bookmarkStart w:id="177" w:name="_Toc529280588"/>
      <w:bookmarkStart w:id="178" w:name="_Toc167352571"/>
      <w:bookmarkStart w:id="179" w:name="_Toc530152529"/>
      <w:r>
        <w:rPr>
          <w:rFonts w:hint="eastAsia" w:ascii="宋体" w:hAnsi="Times New Roman" w:eastAsia="宋体" w:cs="Times New Roman"/>
          <w:kern w:val="0"/>
          <w:szCs w:val="20"/>
        </w:rPr>
        <w:t>第八章 公开招标失败的后续处理</w:t>
      </w:r>
      <w:bookmarkEnd w:id="176"/>
      <w:bookmarkEnd w:id="177"/>
      <w:bookmarkEnd w:id="178"/>
      <w:bookmarkEnd w:id="179"/>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43．公开招标失败的处理（本项目选择方式一）</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1"/>
        </w:rPr>
        <w:t>43.1方式一：公开招标的货物、服务采购项目，招标过程中提交投标文件或者经评审实质性响应招标文件要求的供应商只有两家时，经评审委员会审核采购文件无歧视性、排他性等不合理条款，可现场直接转为与该两家供应商进行竞争性谈判采购。（《深圳海关非政府采购管理办法》第二十七条）。根据《财库〔2012〕69号财政部关于进一步规范政府采购评审工作有关问题的通知》的规定，评审委员会要在采购项目招标失败时，出具招标文件是否存在不合理条款的论证意见，论证意见写进评审报告中。</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1"/>
        </w:rPr>
        <w:t>方式二：本项目公开招标过程中若由于投标截止后</w:t>
      </w:r>
      <w:r>
        <w:rPr>
          <w:rFonts w:hint="eastAsia" w:ascii="宋体" w:hAnsi="Times New Roman" w:eastAsia="宋体" w:cs="宋体"/>
          <w:kern w:val="0"/>
          <w:szCs w:val="24"/>
        </w:rPr>
        <w:t>实际递交</w:t>
      </w:r>
      <w:r>
        <w:rPr>
          <w:rFonts w:ascii="宋体" w:hAnsi="Times New Roman" w:eastAsia="宋体" w:cs="宋体"/>
          <w:kern w:val="0"/>
          <w:szCs w:val="24"/>
        </w:rPr>
        <w:t>投标</w:t>
      </w:r>
      <w:r>
        <w:rPr>
          <w:rFonts w:hint="eastAsia" w:ascii="宋体" w:hAnsi="Times New Roman" w:eastAsia="宋体" w:cs="宋体"/>
          <w:kern w:val="0"/>
          <w:szCs w:val="24"/>
        </w:rPr>
        <w:t>文件的供应商数量不足、经评标委员会评审对招标文件作实质响应的供应商不足等原因造成公开招标失败，可由采购代理机构重新组织采购。</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对公开招标失败的项目，评标委员会在出具该项目招标失败结论的同时，提出重新采购组织形式的建议，以及进一步完善招标文件的资格、技术、商务要求的修改建议。</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43.2重新组织采购有以下两种组织形式：</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（1）由采购代理机构重新组织公开招标；</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（2）根据实际情况需要向相关监督管理部门提出非公开采购人式申请，经相关监督管理部门批准公开招标失败采购项目可转为竞争性谈判或单一来源谈判方式采购。</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43.3公开招标失败的采购项目重新组织公开招标，采购代理机构要重新按公开招标流程发布招标公告和招标文件、组成评标委员会等组织采购活动。</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43.4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44．公开招标失败项目转为竞争性谈判方式采购的</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44.1谈判文件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44.1.1公开招标失败项目转为竞争性谈判方式采购的，原招标文件转为谈判文件。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44.2谈判小组</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44.2.1公开招标失败项目转为竞争性谈判方式采购后，评标委员会转为谈判小组；专家可重新抽取也可继续采用评标委员会内专家。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1"/>
        </w:rPr>
        <w:t>44.2.2</w:t>
      </w:r>
      <w:r>
        <w:rPr>
          <w:rFonts w:hint="eastAsia" w:ascii="宋体" w:hAnsi="Times New Roman" w:eastAsia="宋体" w:cs="宋体"/>
          <w:kern w:val="0"/>
          <w:szCs w:val="24"/>
        </w:rPr>
        <w:t>谈判前，谈判小组将对各供应商的谈判应答文件进行审查，</w:t>
      </w:r>
      <w:r>
        <w:rPr>
          <w:rFonts w:hint="eastAsia" w:ascii="宋体" w:hAnsi="Times New Roman" w:eastAsia="宋体" w:cs="宋体"/>
          <w:bCs/>
          <w:kern w:val="0"/>
          <w:szCs w:val="24"/>
        </w:rPr>
        <w:t>当谈判应答文件出现下列情况之一的将视为无效，按无效标或废标处理，不得进入谈判，</w:t>
      </w:r>
      <w:r>
        <w:rPr>
          <w:rFonts w:hint="eastAsia" w:ascii="宋体" w:hAnsi="Times New Roman" w:eastAsia="宋体" w:cs="宋体"/>
          <w:kern w:val="0"/>
          <w:szCs w:val="24"/>
        </w:rPr>
        <w:t>具体内容见原招标文件中“资格、符合性评审</w:t>
      </w:r>
      <w:r>
        <w:rPr>
          <w:rFonts w:hint="eastAsia" w:ascii="宋体" w:hAnsi="Times New Roman" w:eastAsia="宋体" w:cs="宋体"/>
          <w:bCs/>
          <w:kern w:val="0"/>
          <w:szCs w:val="24"/>
        </w:rPr>
        <w:t>”</w:t>
      </w:r>
      <w:r>
        <w:rPr>
          <w:rFonts w:hint="eastAsia" w:ascii="宋体" w:hAnsi="Times New Roman" w:eastAsia="宋体" w:cs="宋体"/>
          <w:kern w:val="0"/>
          <w:szCs w:val="24"/>
        </w:rPr>
        <w:t>部分以及谈判邀请中相应的变动部分。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44.3谈判程序</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44.3.1参加谈判的供应商和谈判小组成员填写谈判登记表，并交验证明文件（法定代表人证明书、法人授权委托书、被授权的谈判代表身份证原件）。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w:t>
      </w:r>
      <w:r>
        <w:rPr>
          <w:rFonts w:ascii="宋体" w:hAnsi="Times New Roman" w:eastAsia="宋体" w:cs="宋体"/>
          <w:kern w:val="0"/>
          <w:szCs w:val="24"/>
        </w:rPr>
        <w:t>.2</w:t>
      </w:r>
      <w:r>
        <w:rPr>
          <w:rFonts w:hint="eastAsia" w:ascii="宋体" w:hAnsi="Times New Roman" w:eastAsia="宋体" w:cs="宋体"/>
          <w:kern w:val="0"/>
          <w:szCs w:val="24"/>
        </w:rPr>
        <w:t>谈判小组主持人宣布谈判规则和谈判纪律。</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w:t>
      </w:r>
      <w:r>
        <w:rPr>
          <w:rFonts w:ascii="宋体" w:hAnsi="Times New Roman" w:eastAsia="宋体" w:cs="宋体"/>
          <w:kern w:val="0"/>
          <w:szCs w:val="24"/>
        </w:rPr>
        <w:t>.3</w:t>
      </w:r>
      <w:r>
        <w:rPr>
          <w:rFonts w:hint="eastAsia" w:ascii="宋体" w:hAnsi="Times New Roman" w:eastAsia="宋体" w:cs="宋体"/>
          <w:kern w:val="0"/>
          <w:szCs w:val="24"/>
        </w:rPr>
        <w:t>在谈判中，谈判小组将就以下谈判内容跟供应商进行谈判：</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w:t>
      </w:r>
      <w:r>
        <w:rPr>
          <w:rFonts w:ascii="宋体" w:hAnsi="Times New Roman" w:eastAsia="宋体" w:cs="宋体"/>
          <w:kern w:val="0"/>
          <w:szCs w:val="24"/>
        </w:rPr>
        <w:t>1</w:t>
      </w:r>
      <w:r>
        <w:rPr>
          <w:rFonts w:hint="eastAsia" w:ascii="宋体" w:hAnsi="Times New Roman" w:eastAsia="宋体" w:cs="宋体"/>
          <w:kern w:val="0"/>
          <w:szCs w:val="24"/>
        </w:rPr>
        <w:t>）项目方案；</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（2）报价；</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（3）其它相关事项。</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原招标文件或谈判邀请文件有实质性变动的，谈判小组应当通过采购代理机构通知所有参加谈判的供应商。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44.3.4谈判小组可以用书面形式要求各供应商对其谈判应答文件含义不明确的内容作必要的澄清或者说明，重要问题供应商应以书面形式进行澄清、说明。</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w:t>
      </w:r>
      <w:r>
        <w:rPr>
          <w:rFonts w:ascii="宋体" w:hAnsi="Times New Roman" w:eastAsia="宋体" w:cs="宋体"/>
          <w:kern w:val="0"/>
          <w:szCs w:val="24"/>
        </w:rPr>
        <w:t>.</w:t>
      </w:r>
      <w:r>
        <w:rPr>
          <w:rFonts w:hint="eastAsia" w:ascii="宋体" w:hAnsi="Times New Roman" w:eastAsia="宋体" w:cs="宋体"/>
          <w:kern w:val="0"/>
          <w:szCs w:val="24"/>
        </w:rPr>
        <w:t>5 允许供应商在谈判结束之前根据谈判小组提出的内容进行澄清、修改或完善，或对项目方案进行相应的调整。</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w:t>
      </w:r>
      <w:r>
        <w:rPr>
          <w:rFonts w:ascii="宋体" w:hAnsi="Times New Roman" w:eastAsia="宋体" w:cs="宋体"/>
          <w:kern w:val="0"/>
          <w:szCs w:val="24"/>
        </w:rPr>
        <w:t>.</w:t>
      </w:r>
      <w:r>
        <w:rPr>
          <w:rFonts w:hint="eastAsia" w:ascii="宋体" w:hAnsi="Times New Roman" w:eastAsia="宋体" w:cs="宋体"/>
          <w:kern w:val="0"/>
          <w:szCs w:val="24"/>
        </w:rPr>
        <w:t>6供应商对谈判应答文件进行修改，都应形成文字材料，并经供应商谈判授权人签字认可。</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1"/>
        </w:rPr>
        <w:t>44.3.8有下列情形之一的，该供应商的谈判结果</w:t>
      </w:r>
      <w:r>
        <w:rPr>
          <w:rFonts w:hint="eastAsia" w:ascii="宋体" w:hAnsi="Times New Roman" w:eastAsia="宋体" w:cs="宋体"/>
          <w:bCs/>
          <w:kern w:val="0"/>
          <w:szCs w:val="24"/>
        </w:rPr>
        <w:t>按无效标或废标处理</w:t>
      </w:r>
      <w:r>
        <w:rPr>
          <w:rFonts w:hint="eastAsia" w:ascii="宋体" w:hAnsi="Times New Roman" w:eastAsia="宋体" w:cs="宋体"/>
          <w:kern w:val="0"/>
          <w:szCs w:val="21"/>
        </w:rPr>
        <w:t>，</w:t>
      </w:r>
      <w:r>
        <w:rPr>
          <w:rFonts w:hint="eastAsia" w:ascii="宋体" w:hAnsi="Times New Roman" w:eastAsia="宋体" w:cs="宋体"/>
          <w:kern w:val="0"/>
          <w:szCs w:val="24"/>
        </w:rPr>
        <w:t>具体内容见原招标文件中不符合“资格、符合性评审条款”部分以及谈判邀请中相应的变动部分。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w:t>
      </w:r>
      <w:r>
        <w:rPr>
          <w:rFonts w:ascii="宋体" w:hAnsi="Times New Roman" w:eastAsia="宋体" w:cs="宋体"/>
          <w:kern w:val="0"/>
          <w:szCs w:val="24"/>
        </w:rPr>
        <w:t>.</w:t>
      </w:r>
      <w:r>
        <w:rPr>
          <w:rFonts w:hint="eastAsia" w:ascii="宋体" w:hAnsi="Times New Roman" w:eastAsia="宋体" w:cs="宋体"/>
          <w:kern w:val="0"/>
          <w:szCs w:val="24"/>
        </w:rPr>
        <w:t>9谈判结束后，谈判小组根据供应商提供的谈判应答文件、谈判过程中产生的相关资料，对供应商谈判应答文件进行评估与比较，提出书面评审意见。</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44.3.10谈判小组将对谈判过程进行记录，以存档备查。</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44.4评标方法和定标原则</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44.4.1竞争性谈判采购项目的评标方法要比照最低评标价法规定执行。如确因实际情况需要采用其他评标方法的，应报经同级相关监督管理部门批准。原招标文件若采用</w:t>
      </w:r>
      <w:r>
        <w:rPr>
          <w:rFonts w:hint="eastAsia" w:ascii="宋体" w:hAnsi="Times New Roman" w:eastAsia="宋体" w:cs="宋体"/>
          <w:bCs/>
          <w:kern w:val="0"/>
          <w:szCs w:val="24"/>
        </w:rPr>
        <w:t>最低评标价法以外的评标方法，转为竞争性谈判后，评标方法应采用</w:t>
      </w:r>
      <w:r>
        <w:rPr>
          <w:rFonts w:hint="eastAsia" w:ascii="宋体" w:hAnsi="Times New Roman" w:eastAsia="宋体" w:cs="宋体"/>
          <w:kern w:val="0"/>
          <w:szCs w:val="24"/>
        </w:rPr>
        <w:t>最低评标价法。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1"/>
        </w:rPr>
        <w:t>44.4.2对公开招标失败转为竞争性谈判方式采购的项目，谈判小组</w:t>
      </w:r>
      <w:r>
        <w:rPr>
          <w:rFonts w:hint="eastAsia" w:ascii="宋体" w:hAnsi="Times New Roman" w:eastAsia="宋体" w:cs="宋体"/>
          <w:kern w:val="0"/>
          <w:szCs w:val="24"/>
        </w:rPr>
        <w:t>对谈判应答文件进行评审和比较，综合各家供应商最终的方案、服务和投资等谈判结果并按本通用条款第</w:t>
      </w:r>
      <w:r>
        <w:rPr>
          <w:rFonts w:hint="eastAsia" w:ascii="宋体" w:hAnsi="Times New Roman" w:eastAsia="宋体" w:cs="宋体"/>
          <w:bCs/>
          <w:kern w:val="0"/>
          <w:szCs w:val="21"/>
        </w:rPr>
        <w:t>37.1.1款</w:t>
      </w:r>
      <w:r>
        <w:rPr>
          <w:rFonts w:hint="eastAsia" w:ascii="宋体" w:hAnsi="Times New Roman" w:eastAsia="宋体" w:cs="宋体"/>
          <w:kern w:val="0"/>
          <w:szCs w:val="24"/>
        </w:rPr>
        <w:t>的</w:t>
      </w:r>
      <w:r>
        <w:rPr>
          <w:rFonts w:hint="eastAsia" w:ascii="宋体" w:hAnsi="Times New Roman" w:eastAsia="宋体" w:cs="宋体"/>
          <w:bCs/>
          <w:kern w:val="0"/>
          <w:szCs w:val="24"/>
        </w:rPr>
        <w:t>最低评标价法</w:t>
      </w:r>
      <w:r>
        <w:rPr>
          <w:rFonts w:hint="eastAsia" w:ascii="宋体" w:hAnsi="Times New Roman" w:eastAsia="宋体" w:cs="宋体"/>
          <w:kern w:val="0"/>
          <w:szCs w:val="24"/>
        </w:rPr>
        <w:t>进行评审。</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44.4.3若要采用其他评标方法的，必须报经相关监督管理部门批准，谈判小组按批准的评标方法进行评审。谈判邀请文件中应注明批准的评标方法。</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44.4.4谈判小组向采购代理机构提交书面评标报告，并推荐中标候选人或确定中标供应商。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45．公开招标失败项目转为单一来源谈判方式采购</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45.1谈判文件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45.1.1公开招标失败项目转为单一来源谈判方式采购的，原招标文件转为谈判文件。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45.2谈判小组</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45.2.1公开招标失败项目转为单一来源谈判方式采购后，评标委员会转为谈判小组，专家可重新抽取也可继续采用评标委员会内专家。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1"/>
        </w:rPr>
        <w:t>45.2.2</w:t>
      </w:r>
      <w:r>
        <w:rPr>
          <w:rFonts w:hint="eastAsia" w:ascii="宋体" w:hAnsi="Times New Roman" w:eastAsia="宋体" w:cs="宋体"/>
          <w:kern w:val="0"/>
          <w:szCs w:val="24"/>
        </w:rPr>
        <w:t>谈判前，谈判小组将对单一来源供应商的谈判应答文件进行审查，</w:t>
      </w:r>
      <w:r>
        <w:rPr>
          <w:rFonts w:hint="eastAsia" w:ascii="宋体" w:hAnsi="Times New Roman" w:eastAsia="宋体" w:cs="宋体"/>
          <w:bCs/>
          <w:kern w:val="0"/>
          <w:szCs w:val="24"/>
        </w:rPr>
        <w:t>当谈判应答文件出现下列情况之一的将视为无效，按无效标或废标处理，不得进入谈判，</w:t>
      </w:r>
      <w:r>
        <w:rPr>
          <w:rFonts w:hint="eastAsia" w:ascii="宋体" w:hAnsi="Times New Roman" w:eastAsia="宋体" w:cs="宋体"/>
          <w:kern w:val="0"/>
          <w:szCs w:val="24"/>
        </w:rPr>
        <w:t>具体内容见原招标文件中“资格、符合性评审条款</w:t>
      </w:r>
      <w:r>
        <w:rPr>
          <w:rFonts w:hint="eastAsia" w:ascii="宋体" w:hAnsi="Times New Roman" w:eastAsia="宋体" w:cs="宋体"/>
          <w:bCs/>
          <w:kern w:val="0"/>
          <w:szCs w:val="24"/>
        </w:rPr>
        <w:t>”</w:t>
      </w:r>
      <w:r>
        <w:rPr>
          <w:rFonts w:hint="eastAsia" w:ascii="宋体" w:hAnsi="Times New Roman" w:eastAsia="宋体" w:cs="宋体"/>
          <w:kern w:val="0"/>
          <w:szCs w:val="24"/>
        </w:rPr>
        <w:t>部分以及谈判邀请中相应的变动部分。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45.3谈判程序</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45.3.1参加谈判的供应商和谈判小组成员填写谈判登记表，并交验证明文件（法定代表人证明书、法人授权委托书、被授权的谈判代表身份证原件）。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w:t>
      </w:r>
      <w:r>
        <w:rPr>
          <w:rFonts w:ascii="宋体" w:hAnsi="Times New Roman" w:eastAsia="宋体" w:cs="宋体"/>
          <w:kern w:val="0"/>
          <w:szCs w:val="24"/>
        </w:rPr>
        <w:t>.2</w:t>
      </w:r>
      <w:r>
        <w:rPr>
          <w:rFonts w:hint="eastAsia" w:ascii="宋体" w:hAnsi="Times New Roman" w:eastAsia="宋体" w:cs="宋体"/>
          <w:kern w:val="0"/>
          <w:szCs w:val="24"/>
        </w:rPr>
        <w:t>谈判小组主持人宣布谈判规则和谈判纪律。</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w:t>
      </w:r>
      <w:r>
        <w:rPr>
          <w:rFonts w:ascii="宋体" w:hAnsi="Times New Roman" w:eastAsia="宋体" w:cs="宋体"/>
          <w:kern w:val="0"/>
          <w:szCs w:val="24"/>
        </w:rPr>
        <w:t>.3</w:t>
      </w:r>
      <w:r>
        <w:rPr>
          <w:rFonts w:hint="eastAsia" w:ascii="宋体" w:hAnsi="Times New Roman" w:eastAsia="宋体" w:cs="宋体"/>
          <w:kern w:val="0"/>
          <w:szCs w:val="24"/>
        </w:rPr>
        <w:t>在谈判中，谈判小组将就以下谈判内容跟供应商进行谈判：</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w:t>
      </w:r>
      <w:r>
        <w:rPr>
          <w:rFonts w:ascii="宋体" w:hAnsi="Times New Roman" w:eastAsia="宋体" w:cs="宋体"/>
          <w:kern w:val="0"/>
          <w:szCs w:val="24"/>
        </w:rPr>
        <w:t>1</w:t>
      </w:r>
      <w:r>
        <w:rPr>
          <w:rFonts w:hint="eastAsia" w:ascii="宋体" w:hAnsi="Times New Roman" w:eastAsia="宋体" w:cs="宋体"/>
          <w:kern w:val="0"/>
          <w:szCs w:val="24"/>
        </w:rPr>
        <w:t>）项目方案；</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（2）报价；</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（3）其它相关事项。</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原招标文件或谈判邀请文件有实质性变动的，谈判小组应当通过采购代理机构通知供应商。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45.3.4谈判小组可以用书面形式要求供应商对其谈判应答文件含义不明确的内容作必要的澄清或者说明，重要问题供应商应以书面形式进行澄清、说明。</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w:t>
      </w:r>
      <w:r>
        <w:rPr>
          <w:rFonts w:ascii="宋体" w:hAnsi="Times New Roman" w:eastAsia="宋体" w:cs="宋体"/>
          <w:kern w:val="0"/>
          <w:szCs w:val="24"/>
        </w:rPr>
        <w:t>.</w:t>
      </w:r>
      <w:r>
        <w:rPr>
          <w:rFonts w:hint="eastAsia" w:ascii="宋体" w:hAnsi="Times New Roman" w:eastAsia="宋体" w:cs="宋体"/>
          <w:kern w:val="0"/>
          <w:szCs w:val="24"/>
        </w:rPr>
        <w:t>5 允许供应商在谈判结束之前根据谈判小组提出的内容进行澄清、修改或完善，或对项目方案进行相应的调整。</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w:t>
      </w:r>
      <w:r>
        <w:rPr>
          <w:rFonts w:ascii="宋体" w:hAnsi="Times New Roman" w:eastAsia="宋体" w:cs="宋体"/>
          <w:kern w:val="0"/>
          <w:szCs w:val="24"/>
        </w:rPr>
        <w:t>.</w:t>
      </w:r>
      <w:r>
        <w:rPr>
          <w:rFonts w:hint="eastAsia" w:ascii="宋体" w:hAnsi="Times New Roman" w:eastAsia="宋体" w:cs="宋体"/>
          <w:kern w:val="0"/>
          <w:szCs w:val="24"/>
        </w:rPr>
        <w:t>6供应商对谈判应答文件进行修改，都应形成文字材料，并经供应商谈判授权人签字认可。</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45.3.7谈判小组与单一来源供应商进行谈判。供应商有两次更改机会；供应商应在规定的时间内提出最后更改及书面承诺。</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1"/>
        </w:rPr>
        <w:t>45.3.8有下列情形之一的，供应商的谈判结果作废标处理，</w:t>
      </w:r>
      <w:r>
        <w:rPr>
          <w:rFonts w:hint="eastAsia" w:ascii="宋体" w:hAnsi="Times New Roman" w:eastAsia="宋体" w:cs="宋体"/>
          <w:kern w:val="0"/>
          <w:szCs w:val="24"/>
        </w:rPr>
        <w:t>具体内容见原招标文件中不符合“资格、符合性评审条款”部分以及谈判邀请中相应的变动部分。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w:t>
      </w:r>
      <w:r>
        <w:rPr>
          <w:rFonts w:ascii="宋体" w:hAnsi="Times New Roman" w:eastAsia="宋体" w:cs="宋体"/>
          <w:kern w:val="0"/>
          <w:szCs w:val="24"/>
        </w:rPr>
        <w:t>.</w:t>
      </w:r>
      <w:r>
        <w:rPr>
          <w:rFonts w:hint="eastAsia" w:ascii="宋体" w:hAnsi="Times New Roman" w:eastAsia="宋体" w:cs="宋体"/>
          <w:kern w:val="0"/>
          <w:szCs w:val="24"/>
        </w:rPr>
        <w:t>9谈判结束后，谈判小组根据供应商提供的谈判应答文件、谈判过程中产生的相关资料，对供应商谈判应答文件进行评估与比较，提出书面评审意见。</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45.3.10谈判小组将对谈判过程进行记录，以存档备查。</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45.4评标方法和定标原则</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1"/>
        </w:rPr>
        <w:t>45.4.1单一来源谈判采用最低评标价法。</w:t>
      </w:r>
      <w:r>
        <w:rPr>
          <w:rFonts w:hint="eastAsia" w:ascii="宋体" w:hAnsi="Times New Roman" w:eastAsia="宋体" w:cs="宋体"/>
          <w:kern w:val="0"/>
          <w:szCs w:val="24"/>
        </w:rPr>
        <w:t>原招标文件若采用</w:t>
      </w:r>
      <w:r>
        <w:rPr>
          <w:rFonts w:hint="eastAsia" w:ascii="宋体" w:hAnsi="Times New Roman" w:eastAsia="宋体" w:cs="宋体"/>
          <w:bCs/>
          <w:kern w:val="0"/>
          <w:szCs w:val="24"/>
        </w:rPr>
        <w:t>最低评标价法以外的评标方法，转为单一来源谈判后，评标方法改为</w:t>
      </w:r>
      <w:r>
        <w:rPr>
          <w:rFonts w:hint="eastAsia" w:ascii="宋体" w:hAnsi="Times New Roman" w:eastAsia="宋体" w:cs="宋体"/>
          <w:kern w:val="0"/>
          <w:szCs w:val="21"/>
        </w:rPr>
        <w:t>最低评标价法。谈判小组</w:t>
      </w:r>
      <w:r>
        <w:rPr>
          <w:rFonts w:hint="eastAsia" w:ascii="宋体" w:hAnsi="Times New Roman" w:eastAsia="宋体" w:cs="宋体"/>
          <w:kern w:val="0"/>
          <w:szCs w:val="24"/>
        </w:rPr>
        <w:t>对谈判应答文件进行评审和比较，对供应商最终的方案、服务和投资等谈判结果按本通用条款第37.1.1的</w:t>
      </w:r>
      <w:r>
        <w:rPr>
          <w:rFonts w:hint="eastAsia" w:ascii="宋体" w:hAnsi="Times New Roman" w:eastAsia="宋体" w:cs="宋体"/>
          <w:bCs/>
          <w:kern w:val="0"/>
          <w:szCs w:val="24"/>
        </w:rPr>
        <w:t>最低评标价法</w:t>
      </w:r>
      <w:r>
        <w:rPr>
          <w:rFonts w:hint="eastAsia" w:ascii="宋体" w:hAnsi="Times New Roman" w:eastAsia="宋体" w:cs="宋体"/>
          <w:kern w:val="0"/>
          <w:szCs w:val="24"/>
        </w:rPr>
        <w:t>进行评审。</w:t>
      </w:r>
    </w:p>
    <w:p>
      <w:pPr>
        <w:widowControl/>
        <w:shd w:val="clear" w:color="auto" w:fill="FFFFFF"/>
        <w:adjustRightInd w:val="0"/>
        <w:snapToGrid w:val="0"/>
        <w:spacing w:line="360" w:lineRule="auto"/>
        <w:rPr>
          <w:rFonts w:ascii="宋体" w:hAnsi="Times New Roman" w:eastAsia="宋体" w:cs="宋体"/>
          <w:kern w:val="0"/>
          <w:szCs w:val="21"/>
        </w:rPr>
      </w:pPr>
      <w:r>
        <w:rPr>
          <w:rFonts w:hint="eastAsia" w:ascii="宋体" w:hAnsi="Times New Roman" w:eastAsia="宋体" w:cs="宋体"/>
          <w:kern w:val="0"/>
          <w:szCs w:val="24"/>
        </w:rPr>
        <w:t>45.4.2谈判小组向采购代理机构提交书面评标报告，并推荐中标候选人或确定中标供应商。</w:t>
      </w:r>
    </w:p>
    <w:p>
      <w:pPr>
        <w:keepNext/>
        <w:keepLines/>
        <w:tabs>
          <w:tab w:val="left" w:pos="426"/>
        </w:tabs>
        <w:spacing w:before="260" w:after="260" w:line="360" w:lineRule="auto"/>
        <w:textAlignment w:val="baseline"/>
        <w:outlineLvl w:val="1"/>
        <w:rPr>
          <w:rFonts w:ascii="宋体" w:hAnsi="Times New Roman" w:eastAsia="宋体" w:cs="Times New Roman"/>
          <w:kern w:val="0"/>
          <w:sz w:val="28"/>
          <w:szCs w:val="28"/>
        </w:rPr>
      </w:pPr>
      <w:bookmarkStart w:id="180" w:name="_Toc167352572"/>
      <w:bookmarkStart w:id="181" w:name="_Toc14427262"/>
      <w:bookmarkStart w:id="182" w:name="_Toc529280589"/>
      <w:bookmarkStart w:id="183" w:name="_Toc530152530"/>
      <w:r>
        <w:rPr>
          <w:rFonts w:hint="eastAsia" w:ascii="宋体" w:hAnsi="Times New Roman" w:eastAsia="宋体" w:cs="Times New Roman"/>
          <w:kern w:val="0"/>
          <w:szCs w:val="20"/>
        </w:rPr>
        <w:t>第九章 合同的授予与备案</w:t>
      </w:r>
      <w:bookmarkEnd w:id="180"/>
      <w:bookmarkEnd w:id="181"/>
      <w:bookmarkEnd w:id="182"/>
      <w:bookmarkEnd w:id="183"/>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46．  履约担保</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46.1  本项目履约担保的相关要求：详见“投标须知前附表”。</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46.2  在签订合同前，中标供应商应按规定向采购人提交履约担保，采用履约保函形式的可参照使用本招标文件提供的格式。</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46.3  联合体中标的，其履约担保由联合体牵头人提交，并应符合本节第42.1条、第45.2条的规定。</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46.4  如果中标供应商拒不提交本节第42.1条、第42.2条要求的履约担保的，采购人可取消其中标资格，并没收其投标担保。</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47．  签订合同</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47.1  采购人和中标供应商应当按“投标须知前附表”的规定，依据招标文件和中标供应商的投标文件订立书面合同。</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keepNext/>
        <w:keepLines/>
        <w:tabs>
          <w:tab w:val="left" w:pos="426"/>
        </w:tabs>
        <w:spacing w:before="260" w:after="260" w:line="360" w:lineRule="auto"/>
        <w:textAlignment w:val="baseline"/>
        <w:outlineLvl w:val="1"/>
        <w:rPr>
          <w:rFonts w:ascii="宋体" w:hAnsi="Times New Roman" w:eastAsia="宋体" w:cs="Times New Roman"/>
          <w:kern w:val="0"/>
          <w:szCs w:val="20"/>
        </w:rPr>
      </w:pPr>
      <w:bookmarkStart w:id="184" w:name="_Toc14427263"/>
      <w:bookmarkStart w:id="185" w:name="_Toc529280590"/>
      <w:bookmarkStart w:id="186" w:name="_Toc167352573"/>
      <w:bookmarkStart w:id="187" w:name="_Toc530152531"/>
      <w:r>
        <w:rPr>
          <w:rFonts w:hint="eastAsia" w:ascii="宋体" w:hAnsi="Times New Roman" w:eastAsia="宋体" w:cs="Times New Roman"/>
          <w:kern w:val="0"/>
          <w:szCs w:val="20"/>
        </w:rPr>
        <w:t>第十章 质疑受理</w:t>
      </w:r>
      <w:bookmarkEnd w:id="184"/>
      <w:bookmarkEnd w:id="185"/>
      <w:bookmarkEnd w:id="186"/>
      <w:bookmarkEnd w:id="187"/>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48.质疑受理机构</w:t>
      </w:r>
    </w:p>
    <w:p>
      <w:pPr>
        <w:widowControl/>
        <w:shd w:val="clear" w:color="auto" w:fill="FFFFFF"/>
        <w:adjustRightInd w:val="0"/>
        <w:snapToGrid w:val="0"/>
        <w:spacing w:line="360" w:lineRule="auto"/>
        <w:rPr>
          <w:rFonts w:ascii="宋体" w:hAnsi="Times New Roman" w:eastAsia="宋体" w:cs="宋体"/>
          <w:kern w:val="0"/>
          <w:sz w:val="22"/>
        </w:rPr>
      </w:pPr>
      <w:r>
        <w:rPr>
          <w:rFonts w:hint="eastAsia" w:ascii="宋体" w:hAnsi="Times New Roman" w:eastAsia="宋体" w:cs="宋体"/>
          <w:kern w:val="0"/>
          <w:szCs w:val="24"/>
        </w:rPr>
        <w:t>采购代理机构及采购人</w:t>
      </w:r>
      <w:r>
        <w:rPr>
          <w:rFonts w:ascii="宋体" w:hAnsi="Times New Roman" w:eastAsia="宋体" w:cs="宋体"/>
          <w:kern w:val="0"/>
          <w:szCs w:val="24"/>
        </w:rPr>
        <w:t>负责受理和答复质疑</w:t>
      </w:r>
      <w:r>
        <w:rPr>
          <w:rFonts w:ascii="宋体" w:hAnsi="Times New Roman" w:eastAsia="宋体" w:cs="宋体"/>
          <w:kern w:val="0"/>
          <w:sz w:val="22"/>
        </w:rPr>
        <w:t>。</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49.质疑处理原则</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49.1</w:t>
      </w:r>
      <w:r>
        <w:rPr>
          <w:rFonts w:ascii="宋体" w:hAnsi="Times New Roman" w:eastAsia="宋体" w:cs="宋体"/>
          <w:kern w:val="0"/>
          <w:szCs w:val="24"/>
        </w:rPr>
        <w:t>质疑处理遵循公平、公正、规范、高效的原则。</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49.2</w:t>
      </w:r>
      <w:r>
        <w:rPr>
          <w:rFonts w:ascii="宋体" w:hAnsi="Times New Roman" w:eastAsia="宋体" w:cs="宋体"/>
          <w:kern w:val="0"/>
          <w:szCs w:val="24"/>
        </w:rPr>
        <w:t>供应商质疑实行实名制和“谁质疑，谁举证”的原则，质疑应有具体的事项及事实根据。</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50.质疑受理的时效和范围</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50.1供应商认为采购文件、采购过程和中标、成交结果使自己权益受到损害的，可以在知道或者应知其权益受到损害之日起10个工作日内，以书面形式向采购代理机构提出质疑。</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50.2供应商对采购文件有疑问的，采购代理机构及采购人按答疑程序处理；供应商对采购文件有异议的，按质疑程序处理。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51.质疑条件</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51.1提出质疑的应是直接参与相应采购项目的供应商。以联合体形式参与的，由联合体共同提出；</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51.2提供质疑的项目名称和编号、质疑供应商的单位名称、详细地址、邮政编码、联系人及联系电话等基本情况；</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51.3有质疑的具体事项、请求及理由，并附相关证据材料；</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51.4质疑书加盖公章，被授权人进行质疑的同时提交法人授权委托书；</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51.5质疑材料中有外文资料的，应一并附上中文译本，并以中文译本为准。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51.6质疑不得超过质疑受理的时效和范围。</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不符合上述条件的，我采购代理机构不予受理。</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52.受理质疑办理程序</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52.1先与质疑供应商进行沟通，以消除因误解或对采购规则和程序的不了解而引起的质疑。对沟通情况满意的，供应商撤回质疑，质疑处理程序终止。</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52.2处理质疑一般进行书面审查；必要时听取各方当事人的陈述和申辩、进行相关调查；组织原评标委员会或谈判小组进行复议。</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52.3在质疑处理期间，采购代理机构视情形决定暂停采购活动。</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52.4采购代理机构原则上在质疑受理之日起7个工作日内书面答复质疑供应商。答复函以直接领取、传真或邮寄方式送达。</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52.5供应商向采购代理机构提出质疑后，在质疑处理期限内，不得同时向其他方面提起同一质疑。质疑供应商如已就同一事项提起投诉、提请行政复议或诉讼的，质疑程序终止。</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53.相关责任与义务</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53.1采购人、评标专家和相关供应商等当事人应积极配合采购代理机构进行质疑调查，如实反映情况，及时提供证明材料。</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53.2.1捏造事实或提供虚假证明材料的；</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53.2.2假冒他人名义进行质疑的；</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53.2.3拒不配合进行有关调查、情节严重的。</w:t>
      </w:r>
    </w:p>
    <w:p>
      <w:pPr>
        <w:widowControl/>
        <w:shd w:val="clear" w:color="auto" w:fill="FFFFFF"/>
        <w:adjustRightInd w:val="0"/>
        <w:snapToGrid w:val="0"/>
        <w:spacing w:line="360" w:lineRule="auto"/>
        <w:rPr>
          <w:rFonts w:ascii="宋体" w:hAnsi="Times New Roman" w:eastAsia="宋体" w:cs="宋体"/>
          <w:b/>
          <w:kern w:val="0"/>
          <w:szCs w:val="24"/>
        </w:rPr>
      </w:pPr>
      <w:r>
        <w:rPr>
          <w:rFonts w:hint="eastAsia" w:ascii="宋体" w:hAnsi="Times New Roman" w:eastAsia="宋体" w:cs="宋体"/>
          <w:kern w:val="0"/>
          <w:szCs w:val="24"/>
        </w:rPr>
        <w:t xml:space="preserve">54．  </w:t>
      </w:r>
      <w:r>
        <w:rPr>
          <w:rFonts w:hint="eastAsia" w:ascii="宋体" w:hAnsi="Times New Roman" w:eastAsia="宋体" w:cs="宋体"/>
          <w:b/>
          <w:kern w:val="0"/>
          <w:szCs w:val="24"/>
        </w:rPr>
        <w:t>其他</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54.1  本招标文件的解释权归采购代理机构所有，采购代理机构在征得采购人或相关主管部门同意后，有权在法律允许范围内调整本次招标活动的细节及保留最终解释权。</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54.2 采购代理机构向投标供应商提供的资料和数据，是采购代理机构现有的能供投标供应商利用的资料，采购代理机构对投标供应商由此而作出的推论、理解和结论概不负责。</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54.4 中标无效的，发出的中标通知书和签订的合同自始没有法律约束力，但不影响合同中存在的有关解决争议方法的条款的效力。</w:t>
      </w:r>
    </w:p>
    <w:p>
      <w:pPr>
        <w:widowControl/>
        <w:shd w:val="clear" w:color="auto" w:fill="FFFFFF"/>
        <w:adjustRightInd w:val="0"/>
        <w:snapToGrid w:val="0"/>
        <w:spacing w:line="360" w:lineRule="auto"/>
        <w:rPr>
          <w:rFonts w:ascii="宋体" w:hAnsi="Times New Roman" w:eastAsia="宋体" w:cs="宋体"/>
          <w:kern w:val="0"/>
          <w:szCs w:val="24"/>
        </w:rPr>
      </w:pPr>
      <w:r>
        <w:rPr>
          <w:rFonts w:hint="eastAsia" w:ascii="宋体" w:hAnsi="Times New Roman" w:eastAsia="宋体" w:cs="宋体"/>
          <w:kern w:val="0"/>
          <w:szCs w:val="24"/>
        </w:rPr>
        <w:t>54.5 本招标文件所有的附件与本招标文件具有同等效力。</w:t>
      </w:r>
    </w:p>
    <w:p>
      <w:pPr>
        <w:widowControl/>
        <w:shd w:val="clear" w:color="auto" w:fill="FFFFFF"/>
        <w:adjustRightInd w:val="0"/>
        <w:snapToGrid w:val="0"/>
        <w:spacing w:line="360" w:lineRule="auto"/>
        <w:rPr>
          <w:rFonts w:ascii="宋体" w:hAnsi="Times New Roman" w:eastAsia="宋体" w:cs="宋体"/>
          <w:kern w:val="0"/>
          <w:szCs w:val="24"/>
        </w:rPr>
      </w:pPr>
    </w:p>
    <w:p>
      <w:pPr>
        <w:widowControl/>
        <w:jc w:val="left"/>
        <w:rPr>
          <w:rFonts w:ascii="宋体" w:hAnsi="Times New Roman" w:eastAsia="宋体" w:cs="宋体"/>
          <w:kern w:val="0"/>
          <w:szCs w:val="24"/>
        </w:rPr>
      </w:pPr>
      <w:r>
        <w:rPr>
          <w:rFonts w:ascii="宋体" w:hAnsi="Times New Roman" w:eastAsia="宋体" w:cs="宋体"/>
          <w:kern w:val="0"/>
          <w:szCs w:val="24"/>
        </w:rPr>
        <w:br w:type="page"/>
      </w:r>
    </w:p>
    <w:p>
      <w:pPr>
        <w:widowControl/>
        <w:shd w:val="clear" w:color="auto" w:fill="FFFFFF"/>
        <w:adjustRightInd w:val="0"/>
        <w:snapToGrid w:val="0"/>
        <w:spacing w:before="240" w:after="60" w:line="360" w:lineRule="auto"/>
        <w:ind w:firstLine="723"/>
        <w:jc w:val="center"/>
        <w:outlineLvl w:val="0"/>
        <w:rPr>
          <w:rFonts w:ascii="Arial" w:hAnsi="Arial" w:eastAsia="宋体" w:cs="Times New Roman"/>
          <w:b/>
          <w:bCs/>
          <w:sz w:val="36"/>
          <w:szCs w:val="32"/>
        </w:rPr>
      </w:pPr>
      <w:bookmarkStart w:id="188" w:name="_Toc3627284"/>
      <w:bookmarkStart w:id="189" w:name="_Toc14427264"/>
      <w:bookmarkStart w:id="190" w:name="_Toc167352574"/>
      <w:r>
        <w:rPr>
          <w:rFonts w:hint="eastAsia" w:ascii="Arial" w:hAnsi="Arial" w:eastAsia="宋体" w:cs="Times New Roman"/>
          <w:b/>
          <w:bCs/>
          <w:sz w:val="36"/>
          <w:szCs w:val="32"/>
        </w:rPr>
        <w:t>招标代理服务取费说明</w:t>
      </w:r>
      <w:bookmarkEnd w:id="188"/>
      <w:bookmarkEnd w:id="189"/>
      <w:bookmarkEnd w:id="190"/>
    </w:p>
    <w:p>
      <w:pPr>
        <w:widowControl/>
        <w:shd w:val="clear" w:color="auto" w:fill="FFFFFF"/>
        <w:adjustRightInd w:val="0"/>
        <w:snapToGrid w:val="0"/>
        <w:spacing w:line="360" w:lineRule="auto"/>
        <w:ind w:firstLine="440" w:firstLineChars="200"/>
        <w:rPr>
          <w:rFonts w:ascii="宋体" w:hAnsi="Times New Roman" w:eastAsia="宋体" w:cs="宋体"/>
          <w:kern w:val="0"/>
          <w:sz w:val="22"/>
          <w:szCs w:val="24"/>
        </w:rPr>
      </w:pPr>
    </w:p>
    <w:p>
      <w:pPr>
        <w:widowControl/>
        <w:shd w:val="clear" w:color="auto" w:fill="FFFFFF"/>
        <w:adjustRightInd w:val="0"/>
        <w:snapToGrid w:val="0"/>
        <w:spacing w:line="360" w:lineRule="auto"/>
        <w:ind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 xml:space="preserve">招标代理服务收费以中标金额为计算基数，按差额定率累进法计算，向中标供应商收取，收费标准如下表所列： </w:t>
      </w:r>
    </w:p>
    <w:p>
      <w:pPr>
        <w:widowControl/>
        <w:shd w:val="clear" w:color="auto" w:fill="FFFFFF"/>
        <w:adjustRightInd w:val="0"/>
        <w:snapToGrid w:val="0"/>
        <w:spacing w:line="360" w:lineRule="auto"/>
        <w:ind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招标代理服务收费标准</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widowControl/>
              <w:shd w:val="clear" w:color="auto" w:fill="FFFFFF"/>
              <w:adjustRightInd w:val="0"/>
              <w:snapToGrid w:val="0"/>
              <w:spacing w:line="300" w:lineRule="auto"/>
              <w:jc w:val="right"/>
              <w:rPr>
                <w:rFonts w:ascii="宋体" w:hAnsi="Times New Roman" w:eastAsia="宋体" w:cs="宋体"/>
                <w:kern w:val="0"/>
                <w:szCs w:val="21"/>
              </w:rPr>
            </w:pPr>
            <w:r>
              <w:rPr>
                <w:rFonts w:hint="eastAsia" w:ascii="宋体" w:hAnsi="Times New Roman" w:eastAsia="宋体" w:cs="宋体"/>
                <w:kern w:val="0"/>
                <w:szCs w:val="21"/>
              </w:rPr>
              <w:t>服务类型</w:t>
            </w:r>
          </w:p>
          <w:p>
            <w:pPr>
              <w:widowControl/>
              <w:shd w:val="clear" w:color="auto" w:fill="FFFFFF"/>
              <w:adjustRightInd w:val="0"/>
              <w:snapToGrid w:val="0"/>
              <w:spacing w:line="300" w:lineRule="auto"/>
              <w:jc w:val="center"/>
              <w:rPr>
                <w:rFonts w:ascii="宋体" w:hAnsi="Times New Roman" w:eastAsia="宋体" w:cs="宋体"/>
                <w:kern w:val="0"/>
                <w:szCs w:val="21"/>
              </w:rPr>
            </w:pPr>
            <w:r>
              <w:rPr>
                <w:rFonts w:hint="eastAsia" w:ascii="宋体" w:hAnsi="Times New Roman" w:eastAsia="宋体" w:cs="宋体"/>
                <w:kern w:val="0"/>
                <w:szCs w:val="21"/>
              </w:rPr>
              <w:t>费率</w:t>
            </w:r>
          </w:p>
          <w:p>
            <w:pPr>
              <w:widowControl/>
              <w:shd w:val="clear" w:color="auto" w:fill="FFFFFF"/>
              <w:adjustRightInd w:val="0"/>
              <w:snapToGrid w:val="0"/>
              <w:spacing w:line="300" w:lineRule="auto"/>
              <w:rPr>
                <w:rFonts w:ascii="宋体" w:hAnsi="Times New Roman" w:eastAsia="宋体" w:cs="宋体"/>
                <w:kern w:val="0"/>
                <w:szCs w:val="21"/>
              </w:rPr>
            </w:pPr>
            <w:r>
              <w:rPr>
                <w:rFonts w:hint="eastAsia" w:ascii="宋体" w:hAnsi="Times New Roman" w:eastAsia="宋体" w:cs="宋体"/>
                <w:kern w:val="0"/>
                <w:szCs w:val="21"/>
              </w:rPr>
              <w:t>中标金额</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货物采购</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ascii="宋体" w:hAnsi="Times New Roman" w:eastAsia="宋体" w:cs="宋体"/>
                <w:kern w:val="0"/>
                <w:szCs w:val="21"/>
              </w:rPr>
              <w:t>服务采购</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ascii="宋体" w:hAnsi="Times New Roman" w:eastAsia="宋体" w:cs="宋体"/>
                <w:kern w:val="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jc w:val="left"/>
              <w:rPr>
                <w:rFonts w:ascii="宋体" w:hAnsi="Times New Roman" w:eastAsia="宋体" w:cs="宋体"/>
                <w:kern w:val="0"/>
                <w:szCs w:val="21"/>
              </w:rPr>
            </w:pPr>
            <w:r>
              <w:rPr>
                <w:rFonts w:hint="eastAsia" w:ascii="宋体" w:hAnsi="Times New Roman" w:eastAsia="宋体" w:cs="宋体"/>
                <w:kern w:val="0"/>
                <w:szCs w:val="21"/>
              </w:rPr>
              <w:t>100万元以下</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1.500%</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1.500%</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shd w:val="clear" w:color="auto" w:fill="FFFFFF"/>
              <w:tabs>
                <w:tab w:val="left" w:pos="426"/>
              </w:tabs>
              <w:adjustRightInd w:val="0"/>
              <w:snapToGrid w:val="0"/>
              <w:jc w:val="left"/>
              <w:rPr>
                <w:rFonts w:ascii="宋体" w:hAnsi="Times New Roman" w:eastAsia="宋体" w:cs="宋体"/>
                <w:kern w:val="0"/>
                <w:szCs w:val="21"/>
              </w:rPr>
            </w:pPr>
            <w:r>
              <w:rPr>
                <w:rFonts w:hint="eastAsia" w:ascii="宋体" w:hAnsi="Times New Roman" w:eastAsia="宋体" w:cs="宋体"/>
                <w:kern w:val="0"/>
                <w:szCs w:val="21"/>
              </w:rPr>
              <w:t>100万元（含）-500万元</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1.100%</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0.800%</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shd w:val="clear" w:color="auto" w:fill="FFFFFF"/>
              <w:tabs>
                <w:tab w:val="left" w:pos="426"/>
              </w:tabs>
              <w:adjustRightInd w:val="0"/>
              <w:snapToGrid w:val="0"/>
              <w:jc w:val="left"/>
              <w:rPr>
                <w:rFonts w:ascii="宋体" w:hAnsi="Times New Roman" w:eastAsia="宋体" w:cs="宋体"/>
                <w:kern w:val="0"/>
                <w:szCs w:val="21"/>
              </w:rPr>
            </w:pPr>
            <w:r>
              <w:rPr>
                <w:rFonts w:hint="eastAsia" w:ascii="宋体" w:hAnsi="Times New Roman" w:eastAsia="宋体" w:cs="宋体"/>
                <w:kern w:val="0"/>
                <w:szCs w:val="21"/>
              </w:rPr>
              <w:t>500万元（含）-1000万元</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0.800%</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0.450%</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shd w:val="clear" w:color="auto" w:fill="FFFFFF"/>
              <w:tabs>
                <w:tab w:val="left" w:pos="426"/>
              </w:tabs>
              <w:adjustRightInd w:val="0"/>
              <w:snapToGrid w:val="0"/>
              <w:jc w:val="left"/>
              <w:rPr>
                <w:rFonts w:ascii="宋体" w:hAnsi="Times New Roman" w:eastAsia="宋体" w:cs="宋体"/>
                <w:kern w:val="0"/>
                <w:szCs w:val="21"/>
              </w:rPr>
            </w:pPr>
            <w:r>
              <w:rPr>
                <w:rFonts w:hint="eastAsia" w:ascii="宋体" w:hAnsi="Times New Roman" w:eastAsia="宋体" w:cs="宋体"/>
                <w:kern w:val="0"/>
                <w:szCs w:val="21"/>
              </w:rPr>
              <w:t>1000万元（含）-5000万元</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0.500%</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0.250%</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shd w:val="clear" w:color="auto" w:fill="FFFFFF"/>
              <w:tabs>
                <w:tab w:val="left" w:pos="426"/>
              </w:tabs>
              <w:adjustRightInd w:val="0"/>
              <w:snapToGrid w:val="0"/>
              <w:jc w:val="left"/>
              <w:rPr>
                <w:rFonts w:ascii="宋体" w:hAnsi="Times New Roman" w:eastAsia="宋体" w:cs="宋体"/>
                <w:kern w:val="0"/>
                <w:szCs w:val="21"/>
              </w:rPr>
            </w:pPr>
            <w:r>
              <w:rPr>
                <w:rFonts w:hint="eastAsia" w:ascii="宋体" w:hAnsi="Times New Roman" w:eastAsia="宋体" w:cs="宋体"/>
                <w:kern w:val="0"/>
                <w:szCs w:val="21"/>
              </w:rPr>
              <w:t>5000万元（含）-1亿元</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0.250%</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0.100%</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shd w:val="clear" w:color="auto" w:fill="FFFFFF"/>
              <w:tabs>
                <w:tab w:val="left" w:pos="426"/>
              </w:tabs>
              <w:adjustRightInd w:val="0"/>
              <w:snapToGrid w:val="0"/>
              <w:jc w:val="left"/>
              <w:rPr>
                <w:rFonts w:ascii="宋体" w:hAnsi="Times New Roman" w:eastAsia="宋体" w:cs="宋体"/>
                <w:kern w:val="0"/>
                <w:szCs w:val="21"/>
              </w:rPr>
            </w:pPr>
            <w:r>
              <w:rPr>
                <w:rFonts w:hint="eastAsia" w:ascii="宋体" w:hAnsi="Times New Roman" w:eastAsia="宋体" w:cs="宋体"/>
                <w:kern w:val="0"/>
                <w:szCs w:val="21"/>
              </w:rPr>
              <w:t>1亿元（含）-5亿元</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0.050%</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0.050%</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shd w:val="clear" w:color="auto" w:fill="FFFFFF"/>
              <w:tabs>
                <w:tab w:val="left" w:pos="426"/>
              </w:tabs>
              <w:adjustRightInd w:val="0"/>
              <w:snapToGrid w:val="0"/>
              <w:jc w:val="left"/>
              <w:rPr>
                <w:rFonts w:ascii="宋体" w:hAnsi="Times New Roman" w:eastAsia="宋体" w:cs="宋体"/>
                <w:kern w:val="0"/>
                <w:szCs w:val="21"/>
              </w:rPr>
            </w:pPr>
            <w:r>
              <w:rPr>
                <w:rFonts w:hint="eastAsia" w:ascii="宋体" w:hAnsi="Times New Roman" w:eastAsia="宋体" w:cs="宋体"/>
                <w:kern w:val="0"/>
                <w:szCs w:val="21"/>
              </w:rPr>
              <w:t>5亿元（含）-10亿元</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0.035%</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0.035%</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shd w:val="clear" w:color="auto" w:fill="FFFFFF"/>
              <w:tabs>
                <w:tab w:val="left" w:pos="426"/>
              </w:tabs>
              <w:adjustRightInd w:val="0"/>
              <w:snapToGrid w:val="0"/>
              <w:jc w:val="left"/>
              <w:rPr>
                <w:rFonts w:ascii="宋体" w:hAnsi="Times New Roman" w:eastAsia="宋体" w:cs="宋体"/>
                <w:kern w:val="0"/>
                <w:szCs w:val="21"/>
              </w:rPr>
            </w:pPr>
            <w:r>
              <w:rPr>
                <w:rFonts w:hint="eastAsia" w:ascii="宋体" w:hAnsi="Times New Roman" w:eastAsia="宋体" w:cs="宋体"/>
                <w:kern w:val="0"/>
                <w:szCs w:val="21"/>
              </w:rPr>
              <w:t>10亿元（含）-50亿元</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0.008%</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0.008%</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widowControl/>
              <w:shd w:val="clear" w:color="auto" w:fill="FFFFFF"/>
              <w:tabs>
                <w:tab w:val="left" w:pos="426"/>
              </w:tabs>
              <w:adjustRightInd w:val="0"/>
              <w:snapToGrid w:val="0"/>
              <w:jc w:val="left"/>
              <w:rPr>
                <w:rFonts w:ascii="宋体" w:hAnsi="Times New Roman" w:eastAsia="宋体" w:cs="宋体"/>
                <w:kern w:val="0"/>
                <w:szCs w:val="21"/>
              </w:rPr>
            </w:pPr>
            <w:r>
              <w:rPr>
                <w:rFonts w:hint="eastAsia" w:ascii="宋体" w:hAnsi="Times New Roman" w:eastAsia="宋体" w:cs="宋体"/>
                <w:kern w:val="0"/>
                <w:szCs w:val="21"/>
              </w:rPr>
              <w:t>50亿元（含）-100亿元</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0.006%</w:t>
            </w:r>
          </w:p>
        </w:tc>
        <w:tc>
          <w:tcPr>
            <w:tcW w:w="1845"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0.006%</w:t>
            </w:r>
          </w:p>
        </w:tc>
        <w:tc>
          <w:tcPr>
            <w:tcW w:w="1846" w:type="dxa"/>
            <w:vAlign w:val="center"/>
          </w:tcPr>
          <w:p>
            <w:pPr>
              <w:widowControl/>
              <w:shd w:val="clear" w:color="auto" w:fill="FFFFFF"/>
              <w:tabs>
                <w:tab w:val="left" w:pos="426"/>
              </w:tabs>
              <w:adjustRightInd w:val="0"/>
              <w:snapToGrid w:val="0"/>
              <w:jc w:val="center"/>
              <w:rPr>
                <w:rFonts w:ascii="宋体" w:hAnsi="Times New Roman" w:eastAsia="宋体" w:cs="宋体"/>
                <w:kern w:val="0"/>
                <w:szCs w:val="21"/>
              </w:rPr>
            </w:pPr>
            <w:r>
              <w:rPr>
                <w:rFonts w:hint="eastAsia" w:ascii="宋体" w:hAnsi="Times New Roman" w:eastAsia="宋体" w:cs="宋体"/>
                <w:kern w:val="0"/>
                <w:szCs w:val="21"/>
              </w:rPr>
              <w:t>0.006%</w:t>
            </w:r>
          </w:p>
        </w:tc>
      </w:tr>
    </w:tbl>
    <w:p>
      <w:pPr>
        <w:widowControl/>
        <w:shd w:val="clear" w:color="auto" w:fill="FFFFFF"/>
        <w:adjustRightInd w:val="0"/>
        <w:snapToGrid w:val="0"/>
        <w:spacing w:line="360" w:lineRule="auto"/>
        <w:ind w:left="424" w:leftChars="202"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以某5000万项目服务类招标为例：</w:t>
      </w:r>
    </w:p>
    <w:p>
      <w:pPr>
        <w:widowControl/>
        <w:shd w:val="clear" w:color="auto" w:fill="FFFFFF"/>
        <w:adjustRightInd w:val="0"/>
        <w:snapToGrid w:val="0"/>
        <w:spacing w:line="360" w:lineRule="auto"/>
        <w:ind w:left="424" w:leftChars="202"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计算基准价</w:t>
      </w:r>
      <w:r>
        <w:rPr>
          <w:rFonts w:ascii="宋体" w:hAnsi="Times New Roman" w:eastAsia="宋体" w:cs="宋体"/>
          <w:kern w:val="0"/>
          <w:sz w:val="22"/>
          <w:szCs w:val="24"/>
        </w:rPr>
        <w:t>为</w:t>
      </w:r>
      <w:r>
        <w:rPr>
          <w:rFonts w:hint="eastAsia" w:ascii="宋体" w:hAnsi="Times New Roman" w:eastAsia="宋体" w:cs="宋体"/>
          <w:kern w:val="0"/>
          <w:sz w:val="22"/>
          <w:szCs w:val="24"/>
        </w:rPr>
        <w:t>中标价5000万元</w:t>
      </w:r>
      <w:r>
        <w:rPr>
          <w:rFonts w:ascii="宋体" w:hAnsi="Times New Roman" w:eastAsia="宋体" w:cs="宋体"/>
          <w:kern w:val="0"/>
          <w:sz w:val="22"/>
          <w:szCs w:val="24"/>
        </w:rPr>
        <w:t>，则招标代理</w:t>
      </w:r>
      <w:r>
        <w:rPr>
          <w:rFonts w:hint="eastAsia" w:ascii="宋体" w:hAnsi="Times New Roman" w:eastAsia="宋体" w:cs="宋体"/>
          <w:kern w:val="0"/>
          <w:sz w:val="22"/>
          <w:szCs w:val="24"/>
        </w:rPr>
        <w:t>服务</w:t>
      </w:r>
      <w:r>
        <w:rPr>
          <w:rFonts w:ascii="宋体" w:hAnsi="Times New Roman" w:eastAsia="宋体" w:cs="宋体"/>
          <w:kern w:val="0"/>
          <w:sz w:val="22"/>
          <w:szCs w:val="24"/>
        </w:rPr>
        <w:t>费计算为：</w:t>
      </w:r>
    </w:p>
    <w:p>
      <w:pPr>
        <w:widowControl/>
        <w:shd w:val="clear" w:color="auto" w:fill="FFFFFF"/>
        <w:adjustRightInd w:val="0"/>
        <w:snapToGrid w:val="0"/>
        <w:spacing w:line="360" w:lineRule="auto"/>
        <w:ind w:left="424" w:leftChars="202"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 xml:space="preserve">100万元×1.5%=1.5万元   </w:t>
      </w:r>
    </w:p>
    <w:p>
      <w:pPr>
        <w:widowControl/>
        <w:shd w:val="clear" w:color="auto" w:fill="FFFFFF"/>
        <w:adjustRightInd w:val="0"/>
        <w:snapToGrid w:val="0"/>
        <w:spacing w:line="360" w:lineRule="auto"/>
        <w:ind w:left="424" w:leftChars="202"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 xml:space="preserve">（500-100）万元×0.8%=3.2万元 </w:t>
      </w:r>
    </w:p>
    <w:p>
      <w:pPr>
        <w:widowControl/>
        <w:shd w:val="clear" w:color="auto" w:fill="FFFFFF"/>
        <w:adjustRightInd w:val="0"/>
        <w:snapToGrid w:val="0"/>
        <w:spacing w:line="360" w:lineRule="auto"/>
        <w:ind w:left="424" w:leftChars="202"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 xml:space="preserve">（1000-500）万元×0.45%=2.25万元 </w:t>
      </w:r>
    </w:p>
    <w:p>
      <w:pPr>
        <w:widowControl/>
        <w:shd w:val="clear" w:color="auto" w:fill="FFFFFF"/>
        <w:adjustRightInd w:val="0"/>
        <w:snapToGrid w:val="0"/>
        <w:spacing w:line="360" w:lineRule="auto"/>
        <w:ind w:left="424" w:leftChars="202"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（5000-1000）万元×0.25%=10万元</w:t>
      </w:r>
    </w:p>
    <w:p>
      <w:pPr>
        <w:widowControl/>
        <w:shd w:val="clear" w:color="auto" w:fill="FFFFFF"/>
        <w:adjustRightInd w:val="0"/>
        <w:snapToGrid w:val="0"/>
        <w:spacing w:line="360" w:lineRule="auto"/>
        <w:ind w:left="424" w:leftChars="202" w:firstLine="440" w:firstLineChars="200"/>
        <w:rPr>
          <w:rFonts w:ascii="宋体" w:hAnsi="Times New Roman" w:eastAsia="宋体" w:cs="宋体"/>
          <w:kern w:val="0"/>
          <w:sz w:val="22"/>
          <w:szCs w:val="24"/>
        </w:rPr>
      </w:pPr>
      <w:r>
        <w:rPr>
          <w:rFonts w:hint="eastAsia" w:ascii="宋体" w:hAnsi="Times New Roman" w:eastAsia="宋体" w:cs="宋体"/>
          <w:kern w:val="0"/>
          <w:sz w:val="22"/>
          <w:szCs w:val="24"/>
        </w:rPr>
        <w:t>因此，招标代理服务费为：1.5+3.2+2.25+10=16.95万元。</w:t>
      </w:r>
    </w:p>
    <w:p>
      <w:pPr>
        <w:widowControl/>
        <w:ind w:firstLine="560"/>
        <w:jc w:val="left"/>
        <w:rPr>
          <w:rFonts w:ascii="方正仿宋_GBK" w:hAnsi="Times New Roman" w:eastAsia="方正仿宋_GBK" w:cs="Sylfaen"/>
          <w:kern w:val="0"/>
          <w:sz w:val="28"/>
          <w:szCs w:val="28"/>
        </w:rPr>
      </w:pPr>
      <w:r>
        <w:rPr>
          <w:rFonts w:hint="eastAsia" w:ascii="方正仿宋_GBK" w:hAnsi="Times New Roman" w:eastAsia="方正仿宋_GBK" w:cs="Sylfaen"/>
          <w:kern w:val="0"/>
          <w:sz w:val="28"/>
          <w:szCs w:val="28"/>
        </w:rPr>
        <w:t xml:space="preserve"> </w:t>
      </w:r>
    </w:p>
    <w:p>
      <w:pPr>
        <w:widowControl/>
        <w:ind w:firstLine="560" w:firstLineChars="200"/>
        <w:rPr>
          <w:rFonts w:ascii="方正仿宋_GBK" w:hAnsi="Times New Roman" w:eastAsia="方正仿宋_GBK" w:cs="Sylfaen"/>
          <w:kern w:val="0"/>
          <w:sz w:val="28"/>
          <w:szCs w:val="28"/>
        </w:rPr>
      </w:pPr>
    </w:p>
    <w:p>
      <w:pPr>
        <w:widowControl/>
        <w:shd w:val="clear" w:color="auto" w:fill="FFFFFF"/>
        <w:adjustRightInd w:val="0"/>
        <w:snapToGrid w:val="0"/>
        <w:spacing w:line="360" w:lineRule="auto"/>
        <w:ind w:left="424" w:leftChars="202" w:firstLine="440" w:firstLineChars="200"/>
        <w:rPr>
          <w:rFonts w:ascii="宋体" w:hAnsi="Times New Roman" w:eastAsia="宋体" w:cs="宋体"/>
          <w:kern w:val="0"/>
          <w:sz w:val="22"/>
          <w:szCs w:val="24"/>
        </w:rPr>
      </w:pPr>
    </w:p>
    <w:p/>
    <w:p/>
    <w:sectPr>
      <w:footerReference r:id="rId9" w:type="default"/>
      <w:pgSz w:w="11906" w:h="16838"/>
      <w:pgMar w:top="1134" w:right="1134" w:bottom="1134" w:left="1418" w:header="851" w:footer="992" w:gutter="0"/>
      <w:cols w:space="720" w:num="1"/>
      <w:titlePg/>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微软雅黑"/>
    <w:panose1 w:val="00000000000000000000"/>
    <w:charset w:val="00"/>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00"/>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Sylfaen">
    <w:panose1 w:val="010A0502050306030303"/>
    <w:charset w:val="00"/>
    <w:family w:val="roman"/>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91"/>
      </w:rPr>
    </w:pPr>
    <w:r>
      <w:rPr>
        <w:rStyle w:val="91"/>
      </w:rPr>
      <w:fldChar w:fldCharType="begin"/>
    </w:r>
    <w:r>
      <w:rPr>
        <w:rStyle w:val="91"/>
      </w:rPr>
      <w:instrText xml:space="preserve">PAGE  </w:instrText>
    </w:r>
    <w:r>
      <w:rPr>
        <w:rStyle w:val="91"/>
      </w:rPr>
      <w:fldChar w:fldCharType="separate"/>
    </w:r>
    <w:r>
      <w:rPr>
        <w:rStyle w:val="91"/>
      </w:rPr>
      <w:t>65</w:t>
    </w:r>
    <w:r>
      <w:rPr>
        <w:rStyle w:val="91"/>
      </w:rP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PAGE   \* MERGEFORMAT</w:instrText>
    </w:r>
    <w:r>
      <w:fldChar w:fldCharType="separate"/>
    </w:r>
    <w:r>
      <w:rPr>
        <w:lang w:val="zh-CN"/>
      </w:rPr>
      <w:t>29</w:t>
    </w:r>
    <w:r>
      <w:rPr>
        <w:lang w:val="zh-CN"/>
      </w:rPr>
      <w:fldChar w:fldCharType="end"/>
    </w:r>
  </w:p>
  <w:p>
    <w:pPr>
      <w:pStyle w:val="5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firstLine="360"/>
      <w:jc w:val="center"/>
    </w:pPr>
    <w:r>
      <w:fldChar w:fldCharType="begin"/>
    </w:r>
    <w:r>
      <w:instrText xml:space="preserve">PAGE   \* MERGEFORMAT</w:instrText>
    </w:r>
    <w:r>
      <w:fldChar w:fldCharType="separate"/>
    </w:r>
    <w:r>
      <w:rPr>
        <w:lang w:val="zh-CN"/>
      </w:rPr>
      <w:t>96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D3C3D"/>
    <w:multiLevelType w:val="multilevel"/>
    <w:tmpl w:val="9C9D3C3D"/>
    <w:lvl w:ilvl="0" w:tentative="0">
      <w:start w:val="1"/>
      <w:numFmt w:val="decimal"/>
      <w:pStyle w:val="178"/>
      <w:lvlText w:val="%1)"/>
      <w:lvlJc w:val="left"/>
      <w:pPr>
        <w:tabs>
          <w:tab w:val="left" w:pos="0"/>
        </w:tabs>
        <w:ind w:left="420" w:hanging="420"/>
      </w:pPr>
      <w:rPr>
        <w:rFonts w:hint="default"/>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1">
    <w:nsid w:val="9DF148B3"/>
    <w:multiLevelType w:val="multilevel"/>
    <w:tmpl w:val="9DF148B3"/>
    <w:lvl w:ilvl="0" w:tentative="0">
      <w:start w:val="1"/>
      <w:numFmt w:val="chineseCountingThousand"/>
      <w:pStyle w:val="414"/>
      <w:suff w:val="space"/>
      <w:lvlText w:val="第%1章"/>
      <w:lvlJc w:val="left"/>
      <w:pPr>
        <w:tabs>
          <w:tab w:val="left" w:pos="0"/>
        </w:tabs>
        <w:ind w:left="284" w:hanging="284"/>
      </w:pPr>
      <w:rPr>
        <w:rFonts w:hint="eastAsia" w:ascii="黑体" w:hAnsi="黑体" w:eastAsia="黑体"/>
        <w:sz w:val="30"/>
      </w:rPr>
    </w:lvl>
    <w:lvl w:ilvl="1" w:tentative="0">
      <w:start w:val="1"/>
      <w:numFmt w:val="decimal"/>
      <w:isLgl/>
      <w:suff w:val="space"/>
      <w:lvlText w:val="%1.%2"/>
      <w:lvlJc w:val="left"/>
      <w:pPr>
        <w:tabs>
          <w:tab w:val="left" w:pos="0"/>
        </w:tabs>
        <w:ind w:left="284" w:hanging="284"/>
      </w:pPr>
      <w:rPr>
        <w:rFonts w:hint="eastAsia" w:ascii="黑体" w:hAnsi="黑体" w:eastAsia="黑体"/>
        <w:sz w:val="28"/>
      </w:rPr>
    </w:lvl>
    <w:lvl w:ilvl="2" w:tentative="0">
      <w:start w:val="1"/>
      <w:numFmt w:val="decimal"/>
      <w:isLgl/>
      <w:suff w:val="space"/>
      <w:lvlText w:val="%1.%2.%3"/>
      <w:lvlJc w:val="left"/>
      <w:pPr>
        <w:tabs>
          <w:tab w:val="left" w:pos="0"/>
        </w:tabs>
        <w:ind w:left="284" w:hanging="284"/>
      </w:pPr>
      <w:rPr>
        <w:rFonts w:hint="eastAsia" w:ascii="黑体" w:hAnsi="黑体" w:eastAsia="黑体"/>
        <w:sz w:val="26"/>
      </w:rPr>
    </w:lvl>
    <w:lvl w:ilvl="3" w:tentative="0">
      <w:start w:val="1"/>
      <w:numFmt w:val="decimal"/>
      <w:isLgl/>
      <w:suff w:val="space"/>
      <w:lvlText w:val="%1.%2.%3.%4"/>
      <w:lvlJc w:val="left"/>
      <w:pPr>
        <w:tabs>
          <w:tab w:val="left" w:pos="0"/>
        </w:tabs>
        <w:ind w:left="284" w:hanging="284"/>
      </w:pPr>
      <w:rPr>
        <w:rFonts w:hint="eastAsia" w:ascii="黑体" w:hAnsi="黑体" w:eastAsia="黑体"/>
        <w:sz w:val="24"/>
      </w:rPr>
    </w:lvl>
    <w:lvl w:ilvl="4" w:tentative="0">
      <w:start w:val="1"/>
      <w:numFmt w:val="none"/>
      <w:suff w:val="space"/>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2">
    <w:nsid w:val="9F175D3E"/>
    <w:multiLevelType w:val="multilevel"/>
    <w:tmpl w:val="9F175D3E"/>
    <w:lvl w:ilvl="0" w:tentative="0">
      <w:start w:val="1"/>
      <w:numFmt w:val="bullet"/>
      <w:pStyle w:val="197"/>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3">
    <w:nsid w:val="AC0D3E71"/>
    <w:multiLevelType w:val="multilevel"/>
    <w:tmpl w:val="AC0D3E71"/>
    <w:lvl w:ilvl="0" w:tentative="0">
      <w:start w:val="1"/>
      <w:numFmt w:val="chineseCountingThousand"/>
      <w:pStyle w:val="293"/>
      <w:lvlText w:val="第%1章"/>
      <w:lvlJc w:val="left"/>
      <w:pPr>
        <w:tabs>
          <w:tab w:val="left" w:pos="340"/>
        </w:tabs>
        <w:ind w:left="0" w:firstLine="0"/>
      </w:pPr>
      <w:rPr>
        <w:rFonts w:hint="eastAsia"/>
      </w:rPr>
    </w:lvl>
    <w:lvl w:ilvl="1" w:tentative="0">
      <w:start w:val="1"/>
      <w:numFmt w:val="decimal"/>
      <w:pStyle w:val="294"/>
      <w:isLgl/>
      <w:suff w:val="space"/>
      <w:lvlText w:val="%1.%2"/>
      <w:lvlJc w:val="left"/>
      <w:pPr>
        <w:tabs>
          <w:tab w:val="left" w:pos="0"/>
        </w:tabs>
        <w:ind w:left="0" w:firstLine="0"/>
      </w:pPr>
      <w:rPr>
        <w:rFonts w:hint="eastAsia"/>
      </w:rPr>
    </w:lvl>
    <w:lvl w:ilvl="2" w:tentative="0">
      <w:start w:val="1"/>
      <w:numFmt w:val="decimal"/>
      <w:pStyle w:val="295"/>
      <w:isLgl/>
      <w:suff w:val="space"/>
      <w:lvlText w:val="%1.%2.%3"/>
      <w:lvlJc w:val="left"/>
      <w:pPr>
        <w:tabs>
          <w:tab w:val="left" w:pos="0"/>
        </w:tabs>
        <w:ind w:left="0" w:firstLine="0"/>
      </w:pPr>
      <w:rPr>
        <w:rFonts w:hint="eastAsia"/>
      </w:rPr>
    </w:lvl>
    <w:lvl w:ilvl="3" w:tentative="0">
      <w:start w:val="1"/>
      <w:numFmt w:val="decimal"/>
      <w:pStyle w:val="296"/>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tentative="0">
      <w:start w:val="1"/>
      <w:numFmt w:val="decimal"/>
      <w:pStyle w:val="297"/>
      <w:isLgl/>
      <w:suff w:val="space"/>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4">
    <w:nsid w:val="B150720D"/>
    <w:multiLevelType w:val="multilevel"/>
    <w:tmpl w:val="B150720D"/>
    <w:lvl w:ilvl="0" w:tentative="0">
      <w:start w:val="1"/>
      <w:numFmt w:val="bullet"/>
      <w:pStyle w:val="2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B4E76765"/>
    <w:multiLevelType w:val="singleLevel"/>
    <w:tmpl w:val="B4E76765"/>
    <w:lvl w:ilvl="0" w:tentative="0">
      <w:start w:val="1"/>
      <w:numFmt w:val="decimal"/>
      <w:pStyle w:val="35"/>
      <w:lvlText w:val="%1."/>
      <w:lvlJc w:val="left"/>
      <w:pPr>
        <w:tabs>
          <w:tab w:val="left" w:pos="1200"/>
        </w:tabs>
        <w:ind w:left="1200" w:hanging="360"/>
      </w:pPr>
    </w:lvl>
  </w:abstractNum>
  <w:abstractNum w:abstractNumId="6">
    <w:nsid w:val="B985D9C8"/>
    <w:multiLevelType w:val="multilevel"/>
    <w:tmpl w:val="B985D9C8"/>
    <w:lvl w:ilvl="0" w:tentative="0">
      <w:start w:val="1"/>
      <w:numFmt w:val="chineseCountingThousand"/>
      <w:pStyle w:val="205"/>
      <w:lvlText w:val="第%1章"/>
      <w:lvlJc w:val="left"/>
      <w:pPr>
        <w:tabs>
          <w:tab w:val="left" w:pos="1440"/>
        </w:tabs>
        <w:ind w:left="0" w:firstLine="0"/>
      </w:pPr>
      <w:rPr>
        <w:rFonts w:hint="eastAsia"/>
      </w:rPr>
    </w:lvl>
    <w:lvl w:ilvl="1" w:tentative="0">
      <w:start w:val="1"/>
      <w:numFmt w:val="decimal"/>
      <w:pStyle w:val="206"/>
      <w:isLgl/>
      <w:lvlText w:val="%1.%2"/>
      <w:lvlJc w:val="left"/>
      <w:pPr>
        <w:tabs>
          <w:tab w:val="left" w:pos="720"/>
        </w:tabs>
        <w:ind w:left="0" w:firstLine="0"/>
      </w:pPr>
      <w:rPr>
        <w:rFonts w:hint="eastAsia"/>
      </w:rPr>
    </w:lvl>
    <w:lvl w:ilvl="2" w:tentative="0">
      <w:start w:val="1"/>
      <w:numFmt w:val="decimal"/>
      <w:pStyle w:val="207"/>
      <w:isLgl/>
      <w:suff w:val="space"/>
      <w:lvlText w:val="%1.%2.%3"/>
      <w:lvlJc w:val="left"/>
      <w:pPr>
        <w:tabs>
          <w:tab w:val="left" w:pos="0"/>
        </w:tabs>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7">
    <w:nsid w:val="B9B1C257"/>
    <w:multiLevelType w:val="multilevel"/>
    <w:tmpl w:val="B9B1C257"/>
    <w:lvl w:ilvl="0" w:tentative="0">
      <w:start w:val="1"/>
      <w:numFmt w:val="bullet"/>
      <w:lvlText w:val=""/>
      <w:lvlJc w:val="left"/>
      <w:pPr>
        <w:tabs>
          <w:tab w:val="left" w:pos="0"/>
        </w:tabs>
        <w:ind w:left="420" w:hanging="420"/>
      </w:pPr>
      <w:rPr>
        <w:rFonts w:hint="default" w:ascii="Wingdings" w:hAnsi="Wingdings"/>
      </w:rPr>
    </w:lvl>
    <w:lvl w:ilvl="1" w:tentative="0">
      <w:start w:val="1"/>
      <w:numFmt w:val="decimal"/>
      <w:pStyle w:val="313"/>
      <w:lvlText w:val="%2)"/>
      <w:lvlJc w:val="left"/>
      <w:pPr>
        <w:tabs>
          <w:tab w:val="left" w:pos="0"/>
        </w:tabs>
        <w:ind w:left="840" w:hanging="420"/>
      </w:pPr>
      <w:rPr>
        <w:rFonts w:hint="default"/>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8">
    <w:nsid w:val="C26D0BD1"/>
    <w:multiLevelType w:val="singleLevel"/>
    <w:tmpl w:val="C26D0BD1"/>
    <w:lvl w:ilvl="0" w:tentative="0">
      <w:start w:val="1"/>
      <w:numFmt w:val="bullet"/>
      <w:pStyle w:val="232"/>
      <w:lvlText w:val=""/>
      <w:lvlJc w:val="left"/>
      <w:pPr>
        <w:tabs>
          <w:tab w:val="left" w:pos="360"/>
        </w:tabs>
        <w:ind w:left="360" w:hanging="360"/>
      </w:pPr>
      <w:rPr>
        <w:rFonts w:hint="default" w:ascii="Wingdings" w:hAnsi="Wingdings"/>
      </w:rPr>
    </w:lvl>
  </w:abstractNum>
  <w:abstractNum w:abstractNumId="9">
    <w:nsid w:val="C4527E8E"/>
    <w:multiLevelType w:val="multilevel"/>
    <w:tmpl w:val="C4527E8E"/>
    <w:lvl w:ilvl="0" w:tentative="0">
      <w:start w:val="1"/>
      <w:numFmt w:val="decimal"/>
      <w:pStyle w:val="311"/>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D04EF464"/>
    <w:multiLevelType w:val="multilevel"/>
    <w:tmpl w:val="D04EF464"/>
    <w:lvl w:ilvl="0" w:tentative="0">
      <w:start w:val="1"/>
      <w:numFmt w:val="decimal"/>
      <w:pStyle w:val="384"/>
      <w:suff w:val="nothing"/>
      <w:lvlText w:val="%1."/>
      <w:lvlJc w:val="left"/>
      <w:pPr>
        <w:tabs>
          <w:tab w:val="left" w:pos="0"/>
        </w:tabs>
        <w:ind w:left="180" w:firstLine="0"/>
      </w:pPr>
      <w:rPr>
        <w:rFonts w:hint="eastAsia" w:ascii="宋体" w:hAnsi="宋体" w:eastAsia="宋体"/>
        <w:b w:val="0"/>
        <w:i w:val="0"/>
        <w:caps w:val="0"/>
        <w:smallCaps w:val="0"/>
        <w:strike w:val="0"/>
        <w:dstrike w:val="0"/>
        <w:vanish w:val="0"/>
        <w:color w:val="000000"/>
        <w:spacing w:val="0"/>
        <w:position w:val="0"/>
        <w:sz w:val="24"/>
        <w:szCs w:val="24"/>
        <w:vertAlign w:val="baseline"/>
      </w:rPr>
    </w:lvl>
    <w:lvl w:ilvl="1" w:tentative="0">
      <w:start w:val="1"/>
      <w:numFmt w:val="decimal"/>
      <w:pStyle w:val="385"/>
      <w:suff w:val="nothing"/>
      <w:lvlText w:val="%1.%2"/>
      <w:lvlJc w:val="left"/>
      <w:pPr>
        <w:tabs>
          <w:tab w:val="left" w:pos="0"/>
        </w:tabs>
        <w:ind w:left="4736" w:hanging="3836"/>
      </w:pPr>
      <w:rPr>
        <w:rFonts w:hint="eastAsia" w:ascii="Times New Roman" w:hAnsi="Times New Roman" w:cs="Times New Roman"/>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pStyle w:val="386"/>
      <w:suff w:val="nothing"/>
      <w:lvlText w:val="%3）"/>
      <w:lvlJc w:val="left"/>
      <w:pPr>
        <w:tabs>
          <w:tab w:val="left" w:pos="0"/>
        </w:tabs>
        <w:ind w:left="890" w:hanging="170"/>
      </w:pPr>
      <w:rPr>
        <w:b w:val="0"/>
        <w:i w:val="0"/>
        <w:strike w:val="0"/>
        <w:dstrike w:val="0"/>
        <w:color w:val="000000"/>
      </w:rPr>
    </w:lvl>
    <w:lvl w:ilvl="3" w:tentative="0">
      <w:start w:val="1"/>
      <w:numFmt w:val="decimal"/>
      <w:pStyle w:val="387"/>
      <w:suff w:val="nothing"/>
      <w:lvlText w:val="%1.%2.%3.%4"/>
      <w:lvlJc w:val="left"/>
      <w:pPr>
        <w:tabs>
          <w:tab w:val="left" w:pos="0"/>
        </w:tabs>
        <w:ind w:left="284" w:hanging="227"/>
      </w:pPr>
      <w:rPr>
        <w:rFonts w:hint="eastAsia"/>
        <w:b w:val="0"/>
        <w:i w:val="0"/>
      </w:rPr>
    </w:lvl>
    <w:lvl w:ilvl="4" w:tentative="0">
      <w:start w:val="1"/>
      <w:numFmt w:val="decimal"/>
      <w:pStyle w:val="388"/>
      <w:suff w:val="nothing"/>
      <w:lvlText w:val="%1.%2.%3.%4.%5"/>
      <w:lvlJc w:val="left"/>
      <w:pPr>
        <w:tabs>
          <w:tab w:val="left" w:pos="0"/>
        </w:tabs>
        <w:ind w:left="397" w:hanging="340"/>
      </w:pPr>
      <w:rPr>
        <w:rFonts w:hint="eastAsia" w:ascii="宋体" w:hAnsi="宋体" w:eastAsia="宋体"/>
        <w:b w:val="0"/>
        <w:i w:val="0"/>
        <w:caps w:val="0"/>
        <w:small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11">
    <w:nsid w:val="D3185048"/>
    <w:multiLevelType w:val="multilevel"/>
    <w:tmpl w:val="D3185048"/>
    <w:lvl w:ilvl="0" w:tentative="0">
      <w:start w:val="1"/>
      <w:numFmt w:val="decimal"/>
      <w:pStyle w:val="288"/>
      <w:suff w:val="space"/>
      <w:lvlText w:val="%1"/>
      <w:lvlJc w:val="left"/>
      <w:pPr>
        <w:tabs>
          <w:tab w:val="left" w:pos="0"/>
        </w:tabs>
        <w:ind w:left="0" w:firstLine="0"/>
      </w:pPr>
      <w:rPr>
        <w:rFonts w:hint="eastAsia"/>
      </w:rPr>
    </w:lvl>
    <w:lvl w:ilvl="1" w:tentative="0">
      <w:start w:val="1"/>
      <w:numFmt w:val="decimal"/>
      <w:pStyle w:val="289"/>
      <w:suff w:val="space"/>
      <w:lvlText w:val="%1.%2"/>
      <w:lvlJc w:val="left"/>
      <w:pPr>
        <w:tabs>
          <w:tab w:val="left" w:pos="0"/>
        </w:tabs>
        <w:ind w:left="0" w:firstLine="0"/>
      </w:pPr>
      <w:rPr>
        <w:rFonts w:hint="eastAsia"/>
      </w:rPr>
    </w:lvl>
    <w:lvl w:ilvl="2" w:tentative="0">
      <w:start w:val="1"/>
      <w:numFmt w:val="decimal"/>
      <w:pStyle w:val="290"/>
      <w:suff w:val="space"/>
      <w:lvlText w:val="%1.%2.%3"/>
      <w:lvlJc w:val="left"/>
      <w:pPr>
        <w:tabs>
          <w:tab w:val="left" w:pos="0"/>
        </w:tabs>
        <w:ind w:left="0" w:firstLine="0"/>
      </w:pPr>
      <w:rPr>
        <w:rFonts w:hint="eastAsia"/>
      </w:rPr>
    </w:lvl>
    <w:lvl w:ilvl="3" w:tentative="0">
      <w:start w:val="1"/>
      <w:numFmt w:val="decimal"/>
      <w:pStyle w:val="291"/>
      <w:suff w:val="space"/>
      <w:lvlText w:val="%1.%2.%3.%4"/>
      <w:lvlJc w:val="left"/>
      <w:pPr>
        <w:tabs>
          <w:tab w:val="left" w:pos="0"/>
        </w:tabs>
        <w:ind w:left="0" w:firstLine="0"/>
      </w:pPr>
      <w:rPr>
        <w:rFonts w:hint="eastAsia"/>
      </w:rPr>
    </w:lvl>
    <w:lvl w:ilvl="4" w:tentative="0">
      <w:start w:val="1"/>
      <w:numFmt w:val="decimal"/>
      <w:pStyle w:val="292"/>
      <w:suff w:val="space"/>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12">
    <w:nsid w:val="D75AF552"/>
    <w:multiLevelType w:val="singleLevel"/>
    <w:tmpl w:val="D75AF552"/>
    <w:lvl w:ilvl="0" w:tentative="0">
      <w:start w:val="1"/>
      <w:numFmt w:val="decimal"/>
      <w:suff w:val="nothing"/>
      <w:lvlText w:val="%1．"/>
      <w:lvlJc w:val="left"/>
    </w:lvl>
  </w:abstractNum>
  <w:abstractNum w:abstractNumId="13">
    <w:nsid w:val="DCA6C445"/>
    <w:multiLevelType w:val="multilevel"/>
    <w:tmpl w:val="DCA6C445"/>
    <w:lvl w:ilvl="0" w:tentative="0">
      <w:start w:val="1"/>
      <w:numFmt w:val="decimal"/>
      <w:pStyle w:val="300"/>
      <w:lvlText w:val="%1)"/>
      <w:lvlJc w:val="left"/>
      <w:pPr>
        <w:tabs>
          <w:tab w:val="left" w:pos="0"/>
        </w:tabs>
        <w:ind w:left="620" w:hanging="420"/>
      </w:pPr>
    </w:lvl>
    <w:lvl w:ilvl="1" w:tentative="0">
      <w:start w:val="1"/>
      <w:numFmt w:val="lowerLetter"/>
      <w:lvlText w:val="%2)"/>
      <w:lvlJc w:val="left"/>
      <w:pPr>
        <w:tabs>
          <w:tab w:val="left" w:pos="0"/>
        </w:tabs>
        <w:ind w:left="1040" w:hanging="420"/>
      </w:pPr>
    </w:lvl>
    <w:lvl w:ilvl="2" w:tentative="0">
      <w:start w:val="1"/>
      <w:numFmt w:val="lowerRoman"/>
      <w:lvlText w:val="%3."/>
      <w:lvlJc w:val="right"/>
      <w:pPr>
        <w:tabs>
          <w:tab w:val="left" w:pos="0"/>
        </w:tabs>
        <w:ind w:left="1460" w:hanging="420"/>
      </w:pPr>
    </w:lvl>
    <w:lvl w:ilvl="3" w:tentative="0">
      <w:start w:val="1"/>
      <w:numFmt w:val="decimal"/>
      <w:lvlText w:val="%4."/>
      <w:lvlJc w:val="left"/>
      <w:pPr>
        <w:tabs>
          <w:tab w:val="left" w:pos="0"/>
        </w:tabs>
        <w:ind w:left="1880" w:hanging="420"/>
      </w:pPr>
    </w:lvl>
    <w:lvl w:ilvl="4" w:tentative="0">
      <w:start w:val="1"/>
      <w:numFmt w:val="lowerLetter"/>
      <w:lvlText w:val="%5)"/>
      <w:lvlJc w:val="left"/>
      <w:pPr>
        <w:tabs>
          <w:tab w:val="left" w:pos="0"/>
        </w:tabs>
        <w:ind w:left="2300" w:hanging="420"/>
      </w:pPr>
    </w:lvl>
    <w:lvl w:ilvl="5" w:tentative="0">
      <w:start w:val="1"/>
      <w:numFmt w:val="lowerRoman"/>
      <w:lvlText w:val="%6."/>
      <w:lvlJc w:val="right"/>
      <w:pPr>
        <w:tabs>
          <w:tab w:val="left" w:pos="0"/>
        </w:tabs>
        <w:ind w:left="2720" w:hanging="420"/>
      </w:pPr>
    </w:lvl>
    <w:lvl w:ilvl="6" w:tentative="0">
      <w:start w:val="1"/>
      <w:numFmt w:val="decimal"/>
      <w:lvlText w:val="%7."/>
      <w:lvlJc w:val="left"/>
      <w:pPr>
        <w:tabs>
          <w:tab w:val="left" w:pos="0"/>
        </w:tabs>
        <w:ind w:left="3140" w:hanging="420"/>
      </w:pPr>
    </w:lvl>
    <w:lvl w:ilvl="7" w:tentative="0">
      <w:start w:val="1"/>
      <w:numFmt w:val="lowerLetter"/>
      <w:lvlText w:val="%8)"/>
      <w:lvlJc w:val="left"/>
      <w:pPr>
        <w:tabs>
          <w:tab w:val="left" w:pos="0"/>
        </w:tabs>
        <w:ind w:left="3560" w:hanging="420"/>
      </w:pPr>
    </w:lvl>
    <w:lvl w:ilvl="8" w:tentative="0">
      <w:start w:val="1"/>
      <w:numFmt w:val="lowerRoman"/>
      <w:lvlText w:val="%9."/>
      <w:lvlJc w:val="right"/>
      <w:pPr>
        <w:tabs>
          <w:tab w:val="left" w:pos="0"/>
        </w:tabs>
        <w:ind w:left="3980" w:hanging="420"/>
      </w:pPr>
    </w:lvl>
  </w:abstractNum>
  <w:abstractNum w:abstractNumId="14">
    <w:nsid w:val="E4C626FC"/>
    <w:multiLevelType w:val="singleLevel"/>
    <w:tmpl w:val="E4C626FC"/>
    <w:lvl w:ilvl="0" w:tentative="0">
      <w:start w:val="1"/>
      <w:numFmt w:val="decimal"/>
      <w:pStyle w:val="46"/>
      <w:lvlText w:val="%1."/>
      <w:lvlJc w:val="left"/>
      <w:pPr>
        <w:tabs>
          <w:tab w:val="left" w:pos="1620"/>
        </w:tabs>
        <w:ind w:left="1620" w:hanging="360"/>
      </w:pPr>
    </w:lvl>
  </w:abstractNum>
  <w:abstractNum w:abstractNumId="15">
    <w:nsid w:val="00000004"/>
    <w:multiLevelType w:val="multilevel"/>
    <w:tmpl w:val="00000004"/>
    <w:lvl w:ilvl="0" w:tentative="0">
      <w:start w:val="1"/>
      <w:numFmt w:val="decimal"/>
      <w:lvlText w:val="%1."/>
      <w:lvlJc w:val="left"/>
      <w:pPr>
        <w:tabs>
          <w:tab w:val="left" w:pos="0"/>
        </w:tabs>
        <w:ind w:left="0" w:firstLine="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6"/>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pStyle w:val="9"/>
      <w:lvlText w:val="%6."/>
      <w:lvlJc w:val="right"/>
      <w:pPr>
        <w:tabs>
          <w:tab w:val="left" w:pos="2520"/>
        </w:tabs>
        <w:ind w:left="2520" w:hanging="420"/>
      </w:pPr>
    </w:lvl>
    <w:lvl w:ilvl="6" w:tentative="0">
      <w:start w:val="1"/>
      <w:numFmt w:val="decimal"/>
      <w:pStyle w:val="10"/>
      <w:lvlText w:val="%7."/>
      <w:lvlJc w:val="left"/>
      <w:pPr>
        <w:tabs>
          <w:tab w:val="left" w:pos="2940"/>
        </w:tabs>
        <w:ind w:left="2940" w:hanging="420"/>
      </w:pPr>
    </w:lvl>
    <w:lvl w:ilvl="7" w:tentative="0">
      <w:start w:val="1"/>
      <w:numFmt w:val="lowerLetter"/>
      <w:pStyle w:val="11"/>
      <w:lvlText w:val="%8)"/>
      <w:lvlJc w:val="left"/>
      <w:pPr>
        <w:tabs>
          <w:tab w:val="left" w:pos="3360"/>
        </w:tabs>
        <w:ind w:left="3360" w:hanging="420"/>
      </w:pPr>
    </w:lvl>
    <w:lvl w:ilvl="8" w:tentative="0">
      <w:start w:val="1"/>
      <w:numFmt w:val="lowerRoman"/>
      <w:pStyle w:val="12"/>
      <w:lvlText w:val="%9."/>
      <w:lvlJc w:val="right"/>
      <w:pPr>
        <w:tabs>
          <w:tab w:val="left" w:pos="3780"/>
        </w:tabs>
        <w:ind w:left="3780" w:hanging="420"/>
      </w:pPr>
    </w:lvl>
  </w:abstractNum>
  <w:abstractNum w:abstractNumId="16">
    <w:nsid w:val="00000008"/>
    <w:multiLevelType w:val="multilevel"/>
    <w:tmpl w:val="00000008"/>
    <w:lvl w:ilvl="0" w:tentative="0">
      <w:start w:val="1"/>
      <w:numFmt w:val="japaneseCounting"/>
      <w:lvlText w:val="第%1条"/>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0F"/>
    <w:multiLevelType w:val="multilevel"/>
    <w:tmpl w:val="0000000F"/>
    <w:lvl w:ilvl="0" w:tentative="0">
      <w:start w:val="0"/>
      <w:numFmt w:val="decimal"/>
      <w:pStyle w:val="55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019C798C"/>
    <w:multiLevelType w:val="multilevel"/>
    <w:tmpl w:val="019C798C"/>
    <w:lvl w:ilvl="0" w:tentative="0">
      <w:start w:val="1"/>
      <w:numFmt w:val="chineseCountingThousand"/>
      <w:lvlText w:val="%1、"/>
      <w:lvlJc w:val="left"/>
      <w:pPr>
        <w:tabs>
          <w:tab w:val="left" w:pos="0"/>
        </w:tabs>
        <w:ind w:left="420" w:hanging="420"/>
      </w:pPr>
    </w:lvl>
    <w:lvl w:ilvl="1" w:tentative="0">
      <w:start w:val="1"/>
      <w:numFmt w:val="chineseCountingThousand"/>
      <w:suff w:val="nothing"/>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9">
    <w:nsid w:val="04B67B9F"/>
    <w:multiLevelType w:val="multilevel"/>
    <w:tmpl w:val="04B67B9F"/>
    <w:lvl w:ilvl="0" w:tentative="0">
      <w:start w:val="1"/>
      <w:numFmt w:val="chineseCountingThousand"/>
      <w:lvlText w:val="%1、"/>
      <w:lvlJc w:val="left"/>
      <w:pPr>
        <w:tabs>
          <w:tab w:val="left" w:pos="0"/>
        </w:tabs>
        <w:ind w:left="420" w:hanging="420"/>
      </w:pPr>
    </w:lvl>
    <w:lvl w:ilvl="1" w:tentative="0">
      <w:start w:val="1"/>
      <w:numFmt w:val="chineseCountingThousand"/>
      <w:suff w:val="nothing"/>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0">
    <w:nsid w:val="053BEEC5"/>
    <w:multiLevelType w:val="multilevel"/>
    <w:tmpl w:val="053BEEC5"/>
    <w:lvl w:ilvl="0" w:tentative="0">
      <w:start w:val="1"/>
      <w:numFmt w:val="chineseCountingThousand"/>
      <w:pStyle w:val="175"/>
      <w:lvlText w:val="第%1章"/>
      <w:lvlJc w:val="left"/>
      <w:pPr>
        <w:tabs>
          <w:tab w:val="left" w:pos="0"/>
        </w:tabs>
        <w:ind w:left="420" w:hanging="420"/>
      </w:pPr>
      <w:rPr>
        <w:rFonts w:hint="eastAsia"/>
      </w:rPr>
    </w:lvl>
    <w:lvl w:ilvl="1" w:tentative="0">
      <w:start w:val="1"/>
      <w:numFmt w:val="decimal"/>
      <w:lvlText w:val="1.%2"/>
      <w:lvlJc w:val="left"/>
      <w:pPr>
        <w:tabs>
          <w:tab w:val="left" w:pos="0"/>
        </w:tabs>
        <w:ind w:left="420" w:hanging="420"/>
      </w:pPr>
      <w:rPr>
        <w:rFonts w:hint="default" w:ascii="Calibri Light" w:hAnsi="Calibri Light" w:eastAsia="宋体" w:cs="Calibri"/>
        <w:sz w:val="32"/>
        <w:szCs w:val="32"/>
      </w:rPr>
    </w:lvl>
    <w:lvl w:ilvl="2" w:tentative="0">
      <w:start w:val="1"/>
      <w:numFmt w:val="decimal"/>
      <w:lvlText w:val="1.1.%3"/>
      <w:lvlJc w:val="left"/>
      <w:pPr>
        <w:tabs>
          <w:tab w:val="left" w:pos="0"/>
        </w:tabs>
        <w:ind w:left="420" w:firstLine="147"/>
      </w:pPr>
      <w:rPr>
        <w:rFonts w:hint="eastAsia"/>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1">
    <w:nsid w:val="0AE64B02"/>
    <w:multiLevelType w:val="multilevel"/>
    <w:tmpl w:val="0AE64B02"/>
    <w:lvl w:ilvl="0" w:tentative="0">
      <w:start w:val="1"/>
      <w:numFmt w:val="decimal"/>
      <w:pStyle w:val="173"/>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C4C5E67"/>
    <w:multiLevelType w:val="multilevel"/>
    <w:tmpl w:val="0C4C5E67"/>
    <w:lvl w:ilvl="0" w:tentative="0">
      <w:start w:val="1"/>
      <w:numFmt w:val="decimal"/>
      <w:lvlText w:val="%1、"/>
      <w:lvlJc w:val="left"/>
      <w:pPr>
        <w:ind w:left="1164" w:hanging="744"/>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1235B5CB"/>
    <w:multiLevelType w:val="multilevel"/>
    <w:tmpl w:val="1235B5CB"/>
    <w:lvl w:ilvl="0" w:tentative="0">
      <w:start w:val="1"/>
      <w:numFmt w:val="bullet"/>
      <w:pStyle w:val="282"/>
      <w:lvlText w:val=""/>
      <w:lvlJc w:val="left"/>
      <w:pPr>
        <w:tabs>
          <w:tab w:val="left" w:pos="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4">
    <w:nsid w:val="1EC1F55B"/>
    <w:multiLevelType w:val="multilevel"/>
    <w:tmpl w:val="1EC1F55B"/>
    <w:lvl w:ilvl="0" w:tentative="0">
      <w:start w:val="5"/>
      <w:numFmt w:val="decimal"/>
      <w:lvlText w:val="%1"/>
      <w:lvlJc w:val="left"/>
      <w:pPr>
        <w:tabs>
          <w:tab w:val="left" w:pos="425"/>
        </w:tabs>
        <w:ind w:left="425" w:hanging="425"/>
      </w:pPr>
      <w:rPr>
        <w:rFonts w:hint="eastAsia"/>
      </w:rPr>
    </w:lvl>
    <w:lvl w:ilvl="1" w:tentative="0">
      <w:start w:val="1"/>
      <w:numFmt w:val="decimal"/>
      <w:pStyle w:val="172"/>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226B47A1"/>
    <w:multiLevelType w:val="multilevel"/>
    <w:tmpl w:val="226B47A1"/>
    <w:lvl w:ilvl="0" w:tentative="0">
      <w:start w:val="1"/>
      <w:numFmt w:val="decimal"/>
      <w:pStyle w:val="209"/>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27A6CC0"/>
    <w:multiLevelType w:val="multilevel"/>
    <w:tmpl w:val="227A6CC0"/>
    <w:lvl w:ilvl="0" w:tentative="0">
      <w:start w:val="1"/>
      <w:numFmt w:val="decimal"/>
      <w:lvlText w:val="%1、"/>
      <w:lvlJc w:val="left"/>
      <w:pPr>
        <w:ind w:left="1164" w:hanging="744"/>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tabs>
          <w:tab w:val="left" w:pos="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8">
    <w:nsid w:val="27023690"/>
    <w:multiLevelType w:val="multilevel"/>
    <w:tmpl w:val="27023690"/>
    <w:lvl w:ilvl="0" w:tentative="0">
      <w:start w:val="1"/>
      <w:numFmt w:val="chineseCountingThousand"/>
      <w:lvlText w:val="%1"/>
      <w:lvlJc w:val="left"/>
      <w:pPr>
        <w:tabs>
          <w:tab w:val="left" w:pos="0"/>
        </w:tabs>
        <w:ind w:left="420" w:hanging="420"/>
      </w:pPr>
      <w:rPr>
        <w:rFonts w:hint="eastAsia"/>
        <w:b/>
        <w:bCs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9">
    <w:nsid w:val="28FE580F"/>
    <w:multiLevelType w:val="singleLevel"/>
    <w:tmpl w:val="28FE580F"/>
    <w:lvl w:ilvl="0" w:tentative="0">
      <w:start w:val="1"/>
      <w:numFmt w:val="decimal"/>
      <w:pStyle w:val="64"/>
      <w:lvlText w:val="%1."/>
      <w:lvlJc w:val="left"/>
      <w:pPr>
        <w:tabs>
          <w:tab w:val="left" w:pos="2040"/>
        </w:tabs>
        <w:ind w:left="2040" w:hanging="360"/>
      </w:pPr>
    </w:lvl>
  </w:abstractNum>
  <w:abstractNum w:abstractNumId="30">
    <w:nsid w:val="2D4C6A2F"/>
    <w:multiLevelType w:val="singleLevel"/>
    <w:tmpl w:val="2D4C6A2F"/>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1">
    <w:nsid w:val="404F81CC"/>
    <w:multiLevelType w:val="singleLevel"/>
    <w:tmpl w:val="404F81CC"/>
    <w:lvl w:ilvl="0" w:tentative="0">
      <w:start w:val="1"/>
      <w:numFmt w:val="decimal"/>
      <w:pStyle w:val="20"/>
      <w:lvlText w:val="%1."/>
      <w:lvlJc w:val="left"/>
      <w:pPr>
        <w:tabs>
          <w:tab w:val="left" w:pos="360"/>
        </w:tabs>
        <w:ind w:left="360" w:hanging="360"/>
      </w:pPr>
    </w:lvl>
  </w:abstractNum>
  <w:abstractNum w:abstractNumId="32">
    <w:nsid w:val="43747D88"/>
    <w:multiLevelType w:val="multilevel"/>
    <w:tmpl w:val="43747D88"/>
    <w:lvl w:ilvl="0" w:tentative="0">
      <w:start w:val="1"/>
      <w:numFmt w:val="chineseCountingThousand"/>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3">
    <w:nsid w:val="499CB997"/>
    <w:multiLevelType w:val="singleLevel"/>
    <w:tmpl w:val="499CB997"/>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34">
    <w:nsid w:val="49A44A6E"/>
    <w:multiLevelType w:val="multilevel"/>
    <w:tmpl w:val="49A44A6E"/>
    <w:lvl w:ilvl="0" w:tentative="0">
      <w:start w:val="1"/>
      <w:numFmt w:val="chineseCountingThousand"/>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5">
    <w:nsid w:val="4A2772FB"/>
    <w:multiLevelType w:val="multilevel"/>
    <w:tmpl w:val="4A2772FB"/>
    <w:lvl w:ilvl="0" w:tentative="0">
      <w:start w:val="1"/>
      <w:numFmt w:val="decimal"/>
      <w:lvlText w:val="%1、"/>
      <w:lvlJc w:val="left"/>
      <w:pPr>
        <w:ind w:left="1164" w:hanging="744"/>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tabs>
          <w:tab w:val="left" w:pos="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7">
    <w:nsid w:val="4C296137"/>
    <w:multiLevelType w:val="singleLevel"/>
    <w:tmpl w:val="4C296137"/>
    <w:lvl w:ilvl="0" w:tentative="0">
      <w:start w:val="1"/>
      <w:numFmt w:val="bullet"/>
      <w:pStyle w:val="39"/>
      <w:lvlText w:val=""/>
      <w:lvlJc w:val="left"/>
      <w:pPr>
        <w:tabs>
          <w:tab w:val="left" w:pos="780"/>
        </w:tabs>
        <w:ind w:left="780" w:hanging="360"/>
      </w:pPr>
      <w:rPr>
        <w:rFonts w:hint="default" w:ascii="Wingdings" w:hAnsi="Wingdings"/>
      </w:rPr>
    </w:lvl>
  </w:abstractNum>
  <w:abstractNum w:abstractNumId="38">
    <w:nsid w:val="54C72B21"/>
    <w:multiLevelType w:val="multilevel"/>
    <w:tmpl w:val="54C72B21"/>
    <w:lvl w:ilvl="0" w:tentative="0">
      <w:start w:val="1"/>
      <w:numFmt w:val="bullet"/>
      <w:pStyle w:val="176"/>
      <w:lvlText w:val=""/>
      <w:lvlJc w:val="left"/>
      <w:pPr>
        <w:tabs>
          <w:tab w:val="left" w:pos="0"/>
        </w:tabs>
        <w:ind w:left="780" w:hanging="420"/>
      </w:pPr>
      <w:rPr>
        <w:rFonts w:hint="default" w:ascii="Wingdings" w:hAnsi="Wingdings"/>
      </w:rPr>
    </w:lvl>
    <w:lvl w:ilvl="1" w:tentative="0">
      <w:start w:val="1"/>
      <w:numFmt w:val="bullet"/>
      <w:lvlText w:val=""/>
      <w:lvlJc w:val="left"/>
      <w:pPr>
        <w:tabs>
          <w:tab w:val="left" w:pos="0"/>
        </w:tabs>
        <w:ind w:left="1200" w:hanging="420"/>
      </w:pPr>
      <w:rPr>
        <w:rFonts w:hint="default" w:ascii="Wingdings" w:hAnsi="Wingdings"/>
      </w:rPr>
    </w:lvl>
    <w:lvl w:ilvl="2" w:tentative="0">
      <w:start w:val="1"/>
      <w:numFmt w:val="bullet"/>
      <w:lvlText w:val=""/>
      <w:lvlJc w:val="left"/>
      <w:pPr>
        <w:tabs>
          <w:tab w:val="left" w:pos="0"/>
        </w:tabs>
        <w:ind w:left="1620" w:hanging="420"/>
      </w:pPr>
      <w:rPr>
        <w:rFonts w:hint="default" w:ascii="Wingdings" w:hAnsi="Wingdings"/>
      </w:rPr>
    </w:lvl>
    <w:lvl w:ilvl="3" w:tentative="0">
      <w:start w:val="1"/>
      <w:numFmt w:val="bullet"/>
      <w:lvlText w:val=""/>
      <w:lvlJc w:val="left"/>
      <w:pPr>
        <w:tabs>
          <w:tab w:val="left" w:pos="0"/>
        </w:tabs>
        <w:ind w:left="2040" w:hanging="420"/>
      </w:pPr>
      <w:rPr>
        <w:rFonts w:hint="default" w:ascii="Wingdings" w:hAnsi="Wingdings"/>
      </w:rPr>
    </w:lvl>
    <w:lvl w:ilvl="4" w:tentative="0">
      <w:start w:val="1"/>
      <w:numFmt w:val="bullet"/>
      <w:lvlText w:val=""/>
      <w:lvlJc w:val="left"/>
      <w:pPr>
        <w:tabs>
          <w:tab w:val="left" w:pos="0"/>
        </w:tabs>
        <w:ind w:left="2460" w:hanging="420"/>
      </w:pPr>
      <w:rPr>
        <w:rFonts w:hint="default" w:ascii="Wingdings" w:hAnsi="Wingdings"/>
      </w:rPr>
    </w:lvl>
    <w:lvl w:ilvl="5" w:tentative="0">
      <w:start w:val="1"/>
      <w:numFmt w:val="bullet"/>
      <w:lvlText w:val=""/>
      <w:lvlJc w:val="left"/>
      <w:pPr>
        <w:tabs>
          <w:tab w:val="left" w:pos="0"/>
        </w:tabs>
        <w:ind w:left="2880" w:hanging="420"/>
      </w:pPr>
      <w:rPr>
        <w:rFonts w:hint="default" w:ascii="Wingdings" w:hAnsi="Wingdings"/>
      </w:rPr>
    </w:lvl>
    <w:lvl w:ilvl="6" w:tentative="0">
      <w:start w:val="1"/>
      <w:numFmt w:val="bullet"/>
      <w:lvlText w:val=""/>
      <w:lvlJc w:val="left"/>
      <w:pPr>
        <w:tabs>
          <w:tab w:val="left" w:pos="0"/>
        </w:tabs>
        <w:ind w:left="3300" w:hanging="420"/>
      </w:pPr>
      <w:rPr>
        <w:rFonts w:hint="default" w:ascii="Wingdings" w:hAnsi="Wingdings"/>
      </w:rPr>
    </w:lvl>
    <w:lvl w:ilvl="7" w:tentative="0">
      <w:start w:val="1"/>
      <w:numFmt w:val="bullet"/>
      <w:lvlText w:val=""/>
      <w:lvlJc w:val="left"/>
      <w:pPr>
        <w:tabs>
          <w:tab w:val="left" w:pos="0"/>
        </w:tabs>
        <w:ind w:left="3720" w:hanging="420"/>
      </w:pPr>
      <w:rPr>
        <w:rFonts w:hint="default" w:ascii="Wingdings" w:hAnsi="Wingdings"/>
      </w:rPr>
    </w:lvl>
    <w:lvl w:ilvl="8" w:tentative="0">
      <w:start w:val="1"/>
      <w:numFmt w:val="bullet"/>
      <w:lvlText w:val=""/>
      <w:lvlJc w:val="left"/>
      <w:pPr>
        <w:tabs>
          <w:tab w:val="left" w:pos="0"/>
        </w:tabs>
        <w:ind w:left="4140" w:hanging="420"/>
      </w:pPr>
      <w:rPr>
        <w:rFonts w:hint="default" w:ascii="Wingdings" w:hAnsi="Wingdings"/>
      </w:rPr>
    </w:lvl>
  </w:abstractNum>
  <w:abstractNum w:abstractNumId="39">
    <w:nsid w:val="59F52AF8"/>
    <w:multiLevelType w:val="multilevel"/>
    <w:tmpl w:val="59F52AF8"/>
    <w:lvl w:ilvl="0" w:tentative="0">
      <w:start w:val="1"/>
      <w:numFmt w:val="decimal"/>
      <w:pStyle w:val="305"/>
      <w:lvlText w:val="%1)"/>
      <w:lvlJc w:val="left"/>
      <w:pPr>
        <w:tabs>
          <w:tab w:val="left" w:pos="0"/>
        </w:tabs>
        <w:ind w:left="982" w:hanging="420"/>
      </w:pPr>
    </w:lvl>
    <w:lvl w:ilvl="1" w:tentative="0">
      <w:start w:val="1"/>
      <w:numFmt w:val="lowerLetter"/>
      <w:pStyle w:val="302"/>
      <w:lvlText w:val="%2)"/>
      <w:lvlJc w:val="left"/>
      <w:pPr>
        <w:tabs>
          <w:tab w:val="left" w:pos="0"/>
        </w:tabs>
        <w:ind w:left="1402" w:hanging="420"/>
      </w:pPr>
    </w:lvl>
    <w:lvl w:ilvl="2" w:tentative="0">
      <w:start w:val="1"/>
      <w:numFmt w:val="lowerRoman"/>
      <w:pStyle w:val="303"/>
      <w:lvlText w:val="%3."/>
      <w:lvlJc w:val="right"/>
      <w:pPr>
        <w:tabs>
          <w:tab w:val="left" w:pos="0"/>
        </w:tabs>
        <w:ind w:left="1822" w:hanging="420"/>
      </w:pPr>
    </w:lvl>
    <w:lvl w:ilvl="3" w:tentative="0">
      <w:start w:val="1"/>
      <w:numFmt w:val="decimal"/>
      <w:lvlText w:val="%4."/>
      <w:lvlJc w:val="left"/>
      <w:pPr>
        <w:tabs>
          <w:tab w:val="left" w:pos="0"/>
        </w:tabs>
        <w:ind w:left="2242" w:hanging="420"/>
      </w:pPr>
    </w:lvl>
    <w:lvl w:ilvl="4" w:tentative="0">
      <w:start w:val="1"/>
      <w:numFmt w:val="lowerLetter"/>
      <w:lvlText w:val="%5)"/>
      <w:lvlJc w:val="left"/>
      <w:pPr>
        <w:tabs>
          <w:tab w:val="left" w:pos="0"/>
        </w:tabs>
        <w:ind w:left="2662" w:hanging="420"/>
      </w:pPr>
    </w:lvl>
    <w:lvl w:ilvl="5" w:tentative="0">
      <w:start w:val="1"/>
      <w:numFmt w:val="lowerRoman"/>
      <w:lvlText w:val="%6."/>
      <w:lvlJc w:val="right"/>
      <w:pPr>
        <w:tabs>
          <w:tab w:val="left" w:pos="0"/>
        </w:tabs>
        <w:ind w:left="3082" w:hanging="420"/>
      </w:pPr>
    </w:lvl>
    <w:lvl w:ilvl="6" w:tentative="0">
      <w:start w:val="1"/>
      <w:numFmt w:val="decimal"/>
      <w:lvlText w:val="%7."/>
      <w:lvlJc w:val="left"/>
      <w:pPr>
        <w:tabs>
          <w:tab w:val="left" w:pos="0"/>
        </w:tabs>
        <w:ind w:left="3502" w:hanging="420"/>
      </w:pPr>
    </w:lvl>
    <w:lvl w:ilvl="7" w:tentative="0">
      <w:start w:val="1"/>
      <w:numFmt w:val="lowerLetter"/>
      <w:lvlText w:val="%8)"/>
      <w:lvlJc w:val="left"/>
      <w:pPr>
        <w:tabs>
          <w:tab w:val="left" w:pos="0"/>
        </w:tabs>
        <w:ind w:left="3922" w:hanging="420"/>
      </w:pPr>
    </w:lvl>
    <w:lvl w:ilvl="8" w:tentative="0">
      <w:start w:val="1"/>
      <w:numFmt w:val="lowerRoman"/>
      <w:lvlText w:val="%9."/>
      <w:lvlJc w:val="right"/>
      <w:pPr>
        <w:tabs>
          <w:tab w:val="left" w:pos="0"/>
        </w:tabs>
        <w:ind w:left="4342" w:hanging="420"/>
      </w:pPr>
    </w:lvl>
  </w:abstractNum>
  <w:abstractNum w:abstractNumId="40">
    <w:nsid w:val="5B5AF7FA"/>
    <w:multiLevelType w:val="multilevel"/>
    <w:tmpl w:val="5B5AF7FA"/>
    <w:lvl w:ilvl="0" w:tentative="0">
      <w:start w:val="1"/>
      <w:numFmt w:val="decimal"/>
      <w:pStyle w:val="307"/>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41">
    <w:nsid w:val="5C1F12B2"/>
    <w:multiLevelType w:val="singleLevel"/>
    <w:tmpl w:val="5C1F12B2"/>
    <w:lvl w:ilvl="0" w:tentative="0">
      <w:start w:val="1"/>
      <w:numFmt w:val="chineseCounting"/>
      <w:suff w:val="space"/>
      <w:lvlText w:val="第%1条"/>
      <w:lvlJc w:val="left"/>
      <w:rPr>
        <w:rFonts w:hint="eastAsia"/>
      </w:rPr>
    </w:lvl>
  </w:abstractNum>
  <w:abstractNum w:abstractNumId="42">
    <w:nsid w:val="5D34656E"/>
    <w:multiLevelType w:val="multilevel"/>
    <w:tmpl w:val="5D34656E"/>
    <w:lvl w:ilvl="0" w:tentative="0">
      <w:start w:val="1"/>
      <w:numFmt w:val="bullet"/>
      <w:pStyle w:val="15"/>
      <w:lvlText w:val=""/>
      <w:lvlJc w:val="left"/>
      <w:pPr>
        <w:tabs>
          <w:tab w:val="left" w:pos="0"/>
        </w:tabs>
        <w:ind w:left="988" w:hanging="420"/>
      </w:pPr>
      <w:rPr>
        <w:rFonts w:hint="default" w:ascii="Wingdings" w:hAnsi="Wingdings"/>
      </w:rPr>
    </w:lvl>
    <w:lvl w:ilvl="1" w:tentative="0">
      <w:start w:val="1"/>
      <w:numFmt w:val="bullet"/>
      <w:lvlText w:val=""/>
      <w:lvlJc w:val="left"/>
      <w:pPr>
        <w:tabs>
          <w:tab w:val="left" w:pos="0"/>
        </w:tabs>
        <w:ind w:left="1400" w:hanging="420"/>
      </w:pPr>
      <w:rPr>
        <w:rFonts w:hint="default" w:ascii="Wingdings" w:hAnsi="Wingdings"/>
      </w:rPr>
    </w:lvl>
    <w:lvl w:ilvl="2" w:tentative="0">
      <w:start w:val="1"/>
      <w:numFmt w:val="bullet"/>
      <w:lvlText w:val=""/>
      <w:lvlJc w:val="left"/>
      <w:pPr>
        <w:tabs>
          <w:tab w:val="left" w:pos="0"/>
        </w:tabs>
        <w:ind w:left="1820" w:hanging="420"/>
      </w:pPr>
      <w:rPr>
        <w:rFonts w:hint="default" w:ascii="Wingdings" w:hAnsi="Wingdings"/>
      </w:rPr>
    </w:lvl>
    <w:lvl w:ilvl="3" w:tentative="0">
      <w:start w:val="1"/>
      <w:numFmt w:val="bullet"/>
      <w:lvlText w:val=""/>
      <w:lvlJc w:val="left"/>
      <w:pPr>
        <w:tabs>
          <w:tab w:val="left" w:pos="0"/>
        </w:tabs>
        <w:ind w:left="2240" w:hanging="420"/>
      </w:pPr>
      <w:rPr>
        <w:rFonts w:hint="default" w:ascii="Wingdings" w:hAnsi="Wingdings"/>
      </w:rPr>
    </w:lvl>
    <w:lvl w:ilvl="4" w:tentative="0">
      <w:start w:val="1"/>
      <w:numFmt w:val="bullet"/>
      <w:lvlText w:val=""/>
      <w:lvlJc w:val="left"/>
      <w:pPr>
        <w:tabs>
          <w:tab w:val="left" w:pos="0"/>
        </w:tabs>
        <w:ind w:left="2660" w:hanging="420"/>
      </w:pPr>
      <w:rPr>
        <w:rFonts w:hint="default" w:ascii="Wingdings" w:hAnsi="Wingdings"/>
      </w:rPr>
    </w:lvl>
    <w:lvl w:ilvl="5" w:tentative="0">
      <w:start w:val="1"/>
      <w:numFmt w:val="bullet"/>
      <w:lvlText w:val=""/>
      <w:lvlJc w:val="left"/>
      <w:pPr>
        <w:tabs>
          <w:tab w:val="left" w:pos="0"/>
        </w:tabs>
        <w:ind w:left="3080" w:hanging="420"/>
      </w:pPr>
      <w:rPr>
        <w:rFonts w:hint="default" w:ascii="Wingdings" w:hAnsi="Wingdings"/>
      </w:rPr>
    </w:lvl>
    <w:lvl w:ilvl="6" w:tentative="0">
      <w:start w:val="1"/>
      <w:numFmt w:val="bullet"/>
      <w:lvlText w:val=""/>
      <w:lvlJc w:val="left"/>
      <w:pPr>
        <w:tabs>
          <w:tab w:val="left" w:pos="0"/>
        </w:tabs>
        <w:ind w:left="3500" w:hanging="420"/>
      </w:pPr>
      <w:rPr>
        <w:rFonts w:hint="default" w:ascii="Wingdings" w:hAnsi="Wingdings"/>
      </w:rPr>
    </w:lvl>
    <w:lvl w:ilvl="7" w:tentative="0">
      <w:start w:val="1"/>
      <w:numFmt w:val="bullet"/>
      <w:lvlText w:val=""/>
      <w:lvlJc w:val="left"/>
      <w:pPr>
        <w:tabs>
          <w:tab w:val="left" w:pos="0"/>
        </w:tabs>
        <w:ind w:left="3920" w:hanging="420"/>
      </w:pPr>
      <w:rPr>
        <w:rFonts w:hint="default" w:ascii="Wingdings" w:hAnsi="Wingdings"/>
      </w:rPr>
    </w:lvl>
    <w:lvl w:ilvl="8" w:tentative="0">
      <w:start w:val="1"/>
      <w:numFmt w:val="bullet"/>
      <w:lvlText w:val=""/>
      <w:lvlJc w:val="left"/>
      <w:pPr>
        <w:tabs>
          <w:tab w:val="left" w:pos="0"/>
        </w:tabs>
        <w:ind w:left="4340" w:hanging="420"/>
      </w:pPr>
      <w:rPr>
        <w:rFonts w:hint="default" w:ascii="Wingdings" w:hAnsi="Wingdings"/>
      </w:rPr>
    </w:lvl>
  </w:abstractNum>
  <w:abstractNum w:abstractNumId="43">
    <w:nsid w:val="64253DA1"/>
    <w:multiLevelType w:val="multilevel"/>
    <w:tmpl w:val="64253DA1"/>
    <w:lvl w:ilvl="0" w:tentative="0">
      <w:start w:val="1"/>
      <w:numFmt w:val="decimal"/>
      <w:suff w:val="nothing"/>
      <w:lvlText w:val="%1"/>
      <w:lvlJc w:val="left"/>
      <w:pPr>
        <w:tabs>
          <w:tab w:val="left" w:pos="0"/>
        </w:tabs>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44">
    <w:nsid w:val="667C7494"/>
    <w:multiLevelType w:val="multilevel"/>
    <w:tmpl w:val="667C7494"/>
    <w:lvl w:ilvl="0" w:tentative="0">
      <w:start w:val="1"/>
      <w:numFmt w:val="chineseCountingThousand"/>
      <w:lvlText w:val="%1、"/>
      <w:lvlJc w:val="left"/>
      <w:pPr>
        <w:tabs>
          <w:tab w:val="left" w:pos="0"/>
        </w:tabs>
        <w:ind w:left="420" w:hanging="420"/>
      </w:pPr>
    </w:lvl>
    <w:lvl w:ilvl="1" w:tentative="0">
      <w:start w:val="1"/>
      <w:numFmt w:val="chineseCountingThousand"/>
      <w:suff w:val="nothing"/>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5">
    <w:nsid w:val="734F656C"/>
    <w:multiLevelType w:val="multilevel"/>
    <w:tmpl w:val="734F656C"/>
    <w:lvl w:ilvl="0" w:tentative="0">
      <w:start w:val="1"/>
      <w:numFmt w:val="decimal"/>
      <w:suff w:val="nothing"/>
      <w:lvlText w:val="%1"/>
      <w:lvlJc w:val="left"/>
      <w:pPr>
        <w:tabs>
          <w:tab w:val="left" w:pos="0"/>
        </w:tabs>
        <w:ind w:left="63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6">
    <w:nsid w:val="797F14BE"/>
    <w:multiLevelType w:val="singleLevel"/>
    <w:tmpl w:val="797F14BE"/>
    <w:lvl w:ilvl="0" w:tentative="0">
      <w:start w:val="1"/>
      <w:numFmt w:val="bullet"/>
      <w:pStyle w:val="45"/>
      <w:lvlText w:val=""/>
      <w:lvlJc w:val="left"/>
      <w:pPr>
        <w:tabs>
          <w:tab w:val="left" w:pos="2040"/>
        </w:tabs>
        <w:ind w:left="2040" w:hanging="360"/>
      </w:pPr>
      <w:rPr>
        <w:rFonts w:hint="default" w:ascii="Wingdings" w:hAnsi="Wingdings"/>
      </w:rPr>
    </w:lvl>
  </w:abstractNum>
  <w:num w:numId="1">
    <w:abstractNumId w:val="15"/>
  </w:num>
  <w:num w:numId="2">
    <w:abstractNumId w:val="42"/>
  </w:num>
  <w:num w:numId="3">
    <w:abstractNumId w:val="33"/>
  </w:num>
  <w:num w:numId="4">
    <w:abstractNumId w:val="31"/>
  </w:num>
  <w:num w:numId="5">
    <w:abstractNumId w:val="30"/>
  </w:num>
  <w:num w:numId="6">
    <w:abstractNumId w:val="5"/>
  </w:num>
  <w:num w:numId="7">
    <w:abstractNumId w:val="37"/>
  </w:num>
  <w:num w:numId="8">
    <w:abstractNumId w:val="46"/>
  </w:num>
  <w:num w:numId="9">
    <w:abstractNumId w:val="14"/>
  </w:num>
  <w:num w:numId="10">
    <w:abstractNumId w:val="29"/>
  </w:num>
  <w:num w:numId="11">
    <w:abstractNumId w:val="24"/>
  </w:num>
  <w:num w:numId="12">
    <w:abstractNumId w:val="21"/>
  </w:num>
  <w:num w:numId="13">
    <w:abstractNumId w:val="20"/>
  </w:num>
  <w:num w:numId="14">
    <w:abstractNumId w:val="38"/>
  </w:num>
  <w:num w:numId="15">
    <w:abstractNumId w:val="0"/>
  </w:num>
  <w:num w:numId="16">
    <w:abstractNumId w:val="2"/>
  </w:num>
  <w:num w:numId="17">
    <w:abstractNumId w:val="4"/>
  </w:num>
  <w:num w:numId="18">
    <w:abstractNumId w:val="6"/>
  </w:num>
  <w:num w:numId="19">
    <w:abstractNumId w:val="25"/>
  </w:num>
  <w:num w:numId="20">
    <w:abstractNumId w:val="8"/>
  </w:num>
  <w:num w:numId="21">
    <w:abstractNumId w:val="23"/>
  </w:num>
  <w:num w:numId="22">
    <w:abstractNumId w:val="11"/>
  </w:num>
  <w:num w:numId="23">
    <w:abstractNumId w:val="3"/>
  </w:num>
  <w:num w:numId="24">
    <w:abstractNumId w:val="13"/>
  </w:num>
  <w:num w:numId="25">
    <w:abstractNumId w:val="39"/>
  </w:num>
  <w:num w:numId="26">
    <w:abstractNumId w:val="40"/>
  </w:num>
  <w:num w:numId="27">
    <w:abstractNumId w:val="9"/>
  </w:num>
  <w:num w:numId="28">
    <w:abstractNumId w:val="7"/>
  </w:num>
  <w:num w:numId="29">
    <w:abstractNumId w:val="10"/>
  </w:num>
  <w:num w:numId="30">
    <w:abstractNumId w:val="1"/>
  </w:num>
  <w:num w:numId="31">
    <w:abstractNumId w:val="17"/>
  </w:num>
  <w:num w:numId="32">
    <w:abstractNumId w:val="45"/>
  </w:num>
  <w:num w:numId="33">
    <w:abstractNumId w:val="43"/>
  </w:num>
  <w:num w:numId="34">
    <w:abstractNumId w:val="41"/>
  </w:num>
  <w:num w:numId="35">
    <w:abstractNumId w:val="22"/>
  </w:num>
  <w:num w:numId="36">
    <w:abstractNumId w:val="16"/>
  </w:num>
  <w:num w:numId="37">
    <w:abstractNumId w:val="35"/>
  </w:num>
  <w:num w:numId="38">
    <w:abstractNumId w:val="26"/>
  </w:num>
  <w:num w:numId="39">
    <w:abstractNumId w:val="18"/>
  </w:num>
  <w:num w:numId="40">
    <w:abstractNumId w:val="19"/>
  </w:num>
  <w:num w:numId="41">
    <w:abstractNumId w:val="44"/>
  </w:num>
  <w:num w:numId="42">
    <w:abstractNumId w:val="34"/>
  </w:num>
  <w:num w:numId="43">
    <w:abstractNumId w:val="36"/>
  </w:num>
  <w:num w:numId="44">
    <w:abstractNumId w:val="12"/>
  </w:num>
  <w:num w:numId="45">
    <w:abstractNumId w:val="32"/>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Q4NzIwNzA4ZTJjN2M2YzAzODJmMmZmNWFlZjU1OTAifQ=="/>
  </w:docVars>
  <w:rsids>
    <w:rsidRoot w:val="00E166A5"/>
    <w:rsid w:val="00001121"/>
    <w:rsid w:val="00003D9B"/>
    <w:rsid w:val="0002680C"/>
    <w:rsid w:val="000371AB"/>
    <w:rsid w:val="00050082"/>
    <w:rsid w:val="0006118C"/>
    <w:rsid w:val="000831B6"/>
    <w:rsid w:val="00087647"/>
    <w:rsid w:val="000901C1"/>
    <w:rsid w:val="000E1C88"/>
    <w:rsid w:val="001041FB"/>
    <w:rsid w:val="00130A59"/>
    <w:rsid w:val="00135365"/>
    <w:rsid w:val="00155C6E"/>
    <w:rsid w:val="00172784"/>
    <w:rsid w:val="00174183"/>
    <w:rsid w:val="0019033B"/>
    <w:rsid w:val="00190F6E"/>
    <w:rsid w:val="001B3206"/>
    <w:rsid w:val="001D5E9E"/>
    <w:rsid w:val="001D6FA5"/>
    <w:rsid w:val="001E6FBD"/>
    <w:rsid w:val="002175B7"/>
    <w:rsid w:val="00222568"/>
    <w:rsid w:val="00225341"/>
    <w:rsid w:val="00275FE2"/>
    <w:rsid w:val="002771B7"/>
    <w:rsid w:val="002B0D48"/>
    <w:rsid w:val="002D0C52"/>
    <w:rsid w:val="00307446"/>
    <w:rsid w:val="00327450"/>
    <w:rsid w:val="00347ECF"/>
    <w:rsid w:val="00356A5B"/>
    <w:rsid w:val="00364709"/>
    <w:rsid w:val="0036575A"/>
    <w:rsid w:val="00371970"/>
    <w:rsid w:val="00371CC5"/>
    <w:rsid w:val="00392327"/>
    <w:rsid w:val="003A4190"/>
    <w:rsid w:val="003A54D5"/>
    <w:rsid w:val="003B6A0C"/>
    <w:rsid w:val="003C1F23"/>
    <w:rsid w:val="0040152B"/>
    <w:rsid w:val="004122BC"/>
    <w:rsid w:val="00422E87"/>
    <w:rsid w:val="00461240"/>
    <w:rsid w:val="004637BE"/>
    <w:rsid w:val="00476DA8"/>
    <w:rsid w:val="00496379"/>
    <w:rsid w:val="00496E5F"/>
    <w:rsid w:val="004B3B00"/>
    <w:rsid w:val="004D4547"/>
    <w:rsid w:val="004D5555"/>
    <w:rsid w:val="004D630A"/>
    <w:rsid w:val="004E57E4"/>
    <w:rsid w:val="004E7D2F"/>
    <w:rsid w:val="00504B72"/>
    <w:rsid w:val="005276A8"/>
    <w:rsid w:val="00543979"/>
    <w:rsid w:val="00546CFC"/>
    <w:rsid w:val="0055483D"/>
    <w:rsid w:val="005564B2"/>
    <w:rsid w:val="00566EC8"/>
    <w:rsid w:val="005C3E25"/>
    <w:rsid w:val="005D71F5"/>
    <w:rsid w:val="00603C78"/>
    <w:rsid w:val="006368CA"/>
    <w:rsid w:val="00637442"/>
    <w:rsid w:val="00642861"/>
    <w:rsid w:val="00690FD8"/>
    <w:rsid w:val="006A0EC8"/>
    <w:rsid w:val="006C350F"/>
    <w:rsid w:val="006E19B7"/>
    <w:rsid w:val="007224EF"/>
    <w:rsid w:val="00726A9D"/>
    <w:rsid w:val="007345B1"/>
    <w:rsid w:val="00744489"/>
    <w:rsid w:val="00745507"/>
    <w:rsid w:val="007527A6"/>
    <w:rsid w:val="00776EBE"/>
    <w:rsid w:val="00777CDB"/>
    <w:rsid w:val="00793DA6"/>
    <w:rsid w:val="007A72FB"/>
    <w:rsid w:val="007B54EF"/>
    <w:rsid w:val="007C5933"/>
    <w:rsid w:val="007C6FB2"/>
    <w:rsid w:val="007D0FE3"/>
    <w:rsid w:val="007D46F7"/>
    <w:rsid w:val="007D4FC5"/>
    <w:rsid w:val="007D732A"/>
    <w:rsid w:val="007E5C12"/>
    <w:rsid w:val="007F27CB"/>
    <w:rsid w:val="007F37D3"/>
    <w:rsid w:val="00805EE6"/>
    <w:rsid w:val="008263DA"/>
    <w:rsid w:val="00826E6C"/>
    <w:rsid w:val="00831467"/>
    <w:rsid w:val="00836536"/>
    <w:rsid w:val="00881909"/>
    <w:rsid w:val="00886B0A"/>
    <w:rsid w:val="00890068"/>
    <w:rsid w:val="00895453"/>
    <w:rsid w:val="008A66C5"/>
    <w:rsid w:val="008C1E95"/>
    <w:rsid w:val="008C321E"/>
    <w:rsid w:val="008C36E3"/>
    <w:rsid w:val="008C7695"/>
    <w:rsid w:val="008D405A"/>
    <w:rsid w:val="00921D11"/>
    <w:rsid w:val="00923EA1"/>
    <w:rsid w:val="00940A74"/>
    <w:rsid w:val="00946473"/>
    <w:rsid w:val="00986C3B"/>
    <w:rsid w:val="00994467"/>
    <w:rsid w:val="009A0D2A"/>
    <w:rsid w:val="009B1D8A"/>
    <w:rsid w:val="009C019A"/>
    <w:rsid w:val="009C75F7"/>
    <w:rsid w:val="00A1342D"/>
    <w:rsid w:val="00A80A03"/>
    <w:rsid w:val="00A9146D"/>
    <w:rsid w:val="00AB46C2"/>
    <w:rsid w:val="00AB6492"/>
    <w:rsid w:val="00AC369B"/>
    <w:rsid w:val="00AD175B"/>
    <w:rsid w:val="00AD3169"/>
    <w:rsid w:val="00AE0DBD"/>
    <w:rsid w:val="00AE53B9"/>
    <w:rsid w:val="00AF6002"/>
    <w:rsid w:val="00B06CF8"/>
    <w:rsid w:val="00B1503A"/>
    <w:rsid w:val="00B309BB"/>
    <w:rsid w:val="00B3715B"/>
    <w:rsid w:val="00B4280D"/>
    <w:rsid w:val="00B51431"/>
    <w:rsid w:val="00B52783"/>
    <w:rsid w:val="00B539FD"/>
    <w:rsid w:val="00B57496"/>
    <w:rsid w:val="00B73922"/>
    <w:rsid w:val="00B83315"/>
    <w:rsid w:val="00B86693"/>
    <w:rsid w:val="00BA0A46"/>
    <w:rsid w:val="00BB2D6D"/>
    <w:rsid w:val="00BC689F"/>
    <w:rsid w:val="00BD5826"/>
    <w:rsid w:val="00C424BF"/>
    <w:rsid w:val="00C47A3F"/>
    <w:rsid w:val="00C81F81"/>
    <w:rsid w:val="00C95CCB"/>
    <w:rsid w:val="00C96A67"/>
    <w:rsid w:val="00CA4514"/>
    <w:rsid w:val="00CB26C7"/>
    <w:rsid w:val="00CF07C0"/>
    <w:rsid w:val="00D11634"/>
    <w:rsid w:val="00D22C97"/>
    <w:rsid w:val="00D65E53"/>
    <w:rsid w:val="00D70F26"/>
    <w:rsid w:val="00D83488"/>
    <w:rsid w:val="00D94D98"/>
    <w:rsid w:val="00DB4CB3"/>
    <w:rsid w:val="00DC60D0"/>
    <w:rsid w:val="00DD4C05"/>
    <w:rsid w:val="00DE3877"/>
    <w:rsid w:val="00E166A5"/>
    <w:rsid w:val="00E4197A"/>
    <w:rsid w:val="00E4225D"/>
    <w:rsid w:val="00E46850"/>
    <w:rsid w:val="00E52DAF"/>
    <w:rsid w:val="00E54326"/>
    <w:rsid w:val="00E5453D"/>
    <w:rsid w:val="00E61559"/>
    <w:rsid w:val="00E71643"/>
    <w:rsid w:val="00E82226"/>
    <w:rsid w:val="00E861AE"/>
    <w:rsid w:val="00EE1784"/>
    <w:rsid w:val="00EF3742"/>
    <w:rsid w:val="00F01FA2"/>
    <w:rsid w:val="00F053AB"/>
    <w:rsid w:val="00F073C7"/>
    <w:rsid w:val="00F104A1"/>
    <w:rsid w:val="00F4116E"/>
    <w:rsid w:val="00F66A1A"/>
    <w:rsid w:val="00F70C02"/>
    <w:rsid w:val="00F775E5"/>
    <w:rsid w:val="00F80334"/>
    <w:rsid w:val="00F834C6"/>
    <w:rsid w:val="00F8721B"/>
    <w:rsid w:val="00FB08F6"/>
    <w:rsid w:val="00FB3175"/>
    <w:rsid w:val="00FB63B1"/>
    <w:rsid w:val="00FC408A"/>
    <w:rsid w:val="00FF399D"/>
    <w:rsid w:val="015D0D5E"/>
    <w:rsid w:val="022C3C95"/>
    <w:rsid w:val="02775E4F"/>
    <w:rsid w:val="041F13EC"/>
    <w:rsid w:val="058663AA"/>
    <w:rsid w:val="05C0366A"/>
    <w:rsid w:val="06175254"/>
    <w:rsid w:val="06F25003"/>
    <w:rsid w:val="071579E5"/>
    <w:rsid w:val="086A1FB2"/>
    <w:rsid w:val="091361A6"/>
    <w:rsid w:val="0946032A"/>
    <w:rsid w:val="0A3B3C06"/>
    <w:rsid w:val="0C706DB8"/>
    <w:rsid w:val="0C803AF1"/>
    <w:rsid w:val="0C8B0207"/>
    <w:rsid w:val="0D0522AA"/>
    <w:rsid w:val="0D7E5D83"/>
    <w:rsid w:val="0E6E399C"/>
    <w:rsid w:val="0F755FF4"/>
    <w:rsid w:val="103C182E"/>
    <w:rsid w:val="11793180"/>
    <w:rsid w:val="133D236B"/>
    <w:rsid w:val="135A334F"/>
    <w:rsid w:val="13912AE9"/>
    <w:rsid w:val="13BE6373"/>
    <w:rsid w:val="1441006B"/>
    <w:rsid w:val="14D25033"/>
    <w:rsid w:val="15194B44"/>
    <w:rsid w:val="163E0C6D"/>
    <w:rsid w:val="165617D4"/>
    <w:rsid w:val="17125CEF"/>
    <w:rsid w:val="17555BDC"/>
    <w:rsid w:val="17D71E6E"/>
    <w:rsid w:val="1837495E"/>
    <w:rsid w:val="18E00F2C"/>
    <w:rsid w:val="19154D2B"/>
    <w:rsid w:val="19181C4C"/>
    <w:rsid w:val="19E02E7D"/>
    <w:rsid w:val="19F33BB6"/>
    <w:rsid w:val="1AA41354"/>
    <w:rsid w:val="1ACE017F"/>
    <w:rsid w:val="1B421E7D"/>
    <w:rsid w:val="1B7C407F"/>
    <w:rsid w:val="1BF105C9"/>
    <w:rsid w:val="1BFE6842"/>
    <w:rsid w:val="1D6D0123"/>
    <w:rsid w:val="1E7E1DE7"/>
    <w:rsid w:val="1F2F6653"/>
    <w:rsid w:val="20D10218"/>
    <w:rsid w:val="21A62601"/>
    <w:rsid w:val="21CD1190"/>
    <w:rsid w:val="22066C5E"/>
    <w:rsid w:val="220C2D13"/>
    <w:rsid w:val="223C479D"/>
    <w:rsid w:val="229B679C"/>
    <w:rsid w:val="24E567F1"/>
    <w:rsid w:val="25934638"/>
    <w:rsid w:val="272F6601"/>
    <w:rsid w:val="275B7BA1"/>
    <w:rsid w:val="27B771D8"/>
    <w:rsid w:val="28433F5A"/>
    <w:rsid w:val="2843597B"/>
    <w:rsid w:val="288C5936"/>
    <w:rsid w:val="2AE76179"/>
    <w:rsid w:val="2B304573"/>
    <w:rsid w:val="2B9D6A3C"/>
    <w:rsid w:val="2C395094"/>
    <w:rsid w:val="2D2C2E50"/>
    <w:rsid w:val="2D4B16D2"/>
    <w:rsid w:val="2F854E58"/>
    <w:rsid w:val="300A7A53"/>
    <w:rsid w:val="30A457B2"/>
    <w:rsid w:val="30B47ADE"/>
    <w:rsid w:val="30EF4CCE"/>
    <w:rsid w:val="32437B04"/>
    <w:rsid w:val="331D7A9E"/>
    <w:rsid w:val="339C09C3"/>
    <w:rsid w:val="34221E34"/>
    <w:rsid w:val="350554AF"/>
    <w:rsid w:val="356444DD"/>
    <w:rsid w:val="35FE5185"/>
    <w:rsid w:val="36161670"/>
    <w:rsid w:val="374B6987"/>
    <w:rsid w:val="37B02C8E"/>
    <w:rsid w:val="381E409C"/>
    <w:rsid w:val="39434311"/>
    <w:rsid w:val="397D1296"/>
    <w:rsid w:val="3A72247D"/>
    <w:rsid w:val="3D193084"/>
    <w:rsid w:val="3DFD4754"/>
    <w:rsid w:val="3F0833B0"/>
    <w:rsid w:val="3F7171A7"/>
    <w:rsid w:val="403D52DB"/>
    <w:rsid w:val="41586D11"/>
    <w:rsid w:val="425C03C2"/>
    <w:rsid w:val="427C7A6F"/>
    <w:rsid w:val="42D272CF"/>
    <w:rsid w:val="44F934D5"/>
    <w:rsid w:val="44FA379B"/>
    <w:rsid w:val="45B95404"/>
    <w:rsid w:val="45CA4BC8"/>
    <w:rsid w:val="47284988"/>
    <w:rsid w:val="475E7277"/>
    <w:rsid w:val="47D76015"/>
    <w:rsid w:val="485E2070"/>
    <w:rsid w:val="49302F0F"/>
    <w:rsid w:val="4940483C"/>
    <w:rsid w:val="49B8281D"/>
    <w:rsid w:val="4A2319E6"/>
    <w:rsid w:val="4AB30CF4"/>
    <w:rsid w:val="4B1F2250"/>
    <w:rsid w:val="4BBD2C87"/>
    <w:rsid w:val="4C017B05"/>
    <w:rsid w:val="4D5D0D6B"/>
    <w:rsid w:val="4DBD0234"/>
    <w:rsid w:val="4ECA2430"/>
    <w:rsid w:val="4FD335AC"/>
    <w:rsid w:val="53672943"/>
    <w:rsid w:val="549A28A4"/>
    <w:rsid w:val="54AB2D04"/>
    <w:rsid w:val="54E83BE5"/>
    <w:rsid w:val="55140154"/>
    <w:rsid w:val="5579070C"/>
    <w:rsid w:val="55CE161D"/>
    <w:rsid w:val="56521689"/>
    <w:rsid w:val="57566F57"/>
    <w:rsid w:val="58431296"/>
    <w:rsid w:val="58733B38"/>
    <w:rsid w:val="5B402D67"/>
    <w:rsid w:val="5CAE513F"/>
    <w:rsid w:val="5CEE19DF"/>
    <w:rsid w:val="5D093831"/>
    <w:rsid w:val="5D252F4C"/>
    <w:rsid w:val="5DCF35BF"/>
    <w:rsid w:val="5DE132F2"/>
    <w:rsid w:val="5E2D6D87"/>
    <w:rsid w:val="600537F3"/>
    <w:rsid w:val="60F90953"/>
    <w:rsid w:val="614A6689"/>
    <w:rsid w:val="622814F0"/>
    <w:rsid w:val="63AC4DCF"/>
    <w:rsid w:val="644B7717"/>
    <w:rsid w:val="64B4350F"/>
    <w:rsid w:val="65314B5F"/>
    <w:rsid w:val="656960A7"/>
    <w:rsid w:val="667C62AE"/>
    <w:rsid w:val="671935C7"/>
    <w:rsid w:val="678E44EB"/>
    <w:rsid w:val="67FD6AE3"/>
    <w:rsid w:val="681C1AF7"/>
    <w:rsid w:val="6A3A6264"/>
    <w:rsid w:val="6B166CD1"/>
    <w:rsid w:val="6CA83959"/>
    <w:rsid w:val="6CD35661"/>
    <w:rsid w:val="6D3B26BD"/>
    <w:rsid w:val="6E241705"/>
    <w:rsid w:val="6E663ACB"/>
    <w:rsid w:val="6E6D6AEF"/>
    <w:rsid w:val="6E8B312F"/>
    <w:rsid w:val="6EDA2382"/>
    <w:rsid w:val="6EDE7B06"/>
    <w:rsid w:val="6FC62348"/>
    <w:rsid w:val="71D7083C"/>
    <w:rsid w:val="71F80FBC"/>
    <w:rsid w:val="72311466"/>
    <w:rsid w:val="730751D8"/>
    <w:rsid w:val="737334F8"/>
    <w:rsid w:val="737A1DC7"/>
    <w:rsid w:val="74E357BB"/>
    <w:rsid w:val="757271FA"/>
    <w:rsid w:val="76684159"/>
    <w:rsid w:val="76A430FC"/>
    <w:rsid w:val="77045F69"/>
    <w:rsid w:val="7730111A"/>
    <w:rsid w:val="78941235"/>
    <w:rsid w:val="7A361351"/>
    <w:rsid w:val="7D4551F4"/>
    <w:rsid w:val="7D8F212A"/>
    <w:rsid w:val="7DFA3EBB"/>
    <w:rsid w:val="7E9C6D61"/>
    <w:rsid w:val="7F31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108"/>
    <w:autoRedefine/>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4"/>
    <w:next w:val="1"/>
    <w:link w:val="109"/>
    <w:autoRedefine/>
    <w:qFormat/>
    <w:uiPriority w:val="0"/>
    <w:pPr>
      <w:tabs>
        <w:tab w:val="left" w:pos="426"/>
      </w:tabs>
      <w:textAlignment w:val="baseline"/>
      <w:outlineLvl w:val="1"/>
    </w:pPr>
    <w:rPr>
      <w:bCs w:val="0"/>
      <w:kern w:val="0"/>
      <w:szCs w:val="20"/>
    </w:rPr>
  </w:style>
  <w:style w:type="paragraph" w:styleId="4">
    <w:name w:val="heading 3"/>
    <w:basedOn w:val="1"/>
    <w:next w:val="1"/>
    <w:link w:val="110"/>
    <w:autoRedefine/>
    <w:qFormat/>
    <w:uiPriority w:val="0"/>
    <w:pPr>
      <w:keepNext/>
      <w:keepLines/>
      <w:spacing w:before="260" w:after="260" w:line="360" w:lineRule="auto"/>
      <w:outlineLvl w:val="2"/>
    </w:pPr>
    <w:rPr>
      <w:rFonts w:ascii="宋体" w:hAnsi="Times New Roman" w:eastAsia="宋体" w:cs="Times New Roman"/>
      <w:bCs/>
      <w:szCs w:val="21"/>
    </w:rPr>
  </w:style>
  <w:style w:type="paragraph" w:styleId="6">
    <w:name w:val="heading 4"/>
    <w:basedOn w:val="1"/>
    <w:next w:val="1"/>
    <w:link w:val="111"/>
    <w:autoRedefine/>
    <w:qFormat/>
    <w:uiPriority w:val="0"/>
    <w:pPr>
      <w:keepNext/>
      <w:keepLines/>
      <w:widowControl/>
      <w:numPr>
        <w:ilvl w:val="3"/>
        <w:numId w:val="1"/>
      </w:numPr>
      <w:shd w:val="clear" w:color="auto" w:fill="FFFFFF"/>
      <w:tabs>
        <w:tab w:val="left" w:pos="0"/>
        <w:tab w:val="left" w:pos="426"/>
      </w:tabs>
      <w:adjustRightInd w:val="0"/>
      <w:snapToGrid w:val="0"/>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112"/>
    <w:autoRedefine/>
    <w:qFormat/>
    <w:uiPriority w:val="0"/>
    <w:pPr>
      <w:keepNext/>
      <w:keepLines/>
      <w:widowControl/>
      <w:numPr>
        <w:ilvl w:val="4"/>
        <w:numId w:val="1"/>
      </w:numPr>
      <w:shd w:val="clear" w:color="auto" w:fill="FFFFFF"/>
      <w:tabs>
        <w:tab w:val="left" w:pos="426"/>
      </w:tabs>
      <w:adjustRightInd w:val="0"/>
      <w:snapToGrid w:val="0"/>
      <w:spacing w:before="280" w:after="290" w:line="376" w:lineRule="auto"/>
      <w:jc w:val="center"/>
      <w:outlineLvl w:val="4"/>
    </w:pPr>
    <w:rPr>
      <w:rFonts w:ascii="Times New Roman" w:hAnsi="Times New Roman" w:eastAsia="宋体" w:cs="Times New Roman"/>
      <w:b/>
      <w:sz w:val="24"/>
      <w:szCs w:val="20"/>
    </w:rPr>
  </w:style>
  <w:style w:type="paragraph" w:styleId="9">
    <w:name w:val="heading 6"/>
    <w:basedOn w:val="1"/>
    <w:next w:val="8"/>
    <w:link w:val="113"/>
    <w:autoRedefine/>
    <w:qFormat/>
    <w:uiPriority w:val="0"/>
    <w:pPr>
      <w:keepNext/>
      <w:keepLines/>
      <w:widowControl/>
      <w:numPr>
        <w:ilvl w:val="5"/>
        <w:numId w:val="1"/>
      </w:numPr>
      <w:shd w:val="clear" w:color="auto" w:fill="FFFFFF"/>
      <w:tabs>
        <w:tab w:val="left" w:pos="426"/>
      </w:tabs>
      <w:adjustRightInd w:val="0"/>
      <w:snapToGrid w:val="0"/>
      <w:spacing w:before="240" w:after="64" w:line="319" w:lineRule="auto"/>
      <w:outlineLvl w:val="5"/>
    </w:pPr>
    <w:rPr>
      <w:rFonts w:ascii="Arial" w:hAnsi="Arial" w:eastAsia="黑体" w:cs="Times New Roman"/>
      <w:b/>
      <w:sz w:val="24"/>
      <w:szCs w:val="20"/>
    </w:rPr>
  </w:style>
  <w:style w:type="paragraph" w:styleId="10">
    <w:name w:val="heading 7"/>
    <w:basedOn w:val="1"/>
    <w:next w:val="8"/>
    <w:link w:val="114"/>
    <w:autoRedefine/>
    <w:qFormat/>
    <w:uiPriority w:val="0"/>
    <w:pPr>
      <w:keepNext/>
      <w:keepLines/>
      <w:widowControl/>
      <w:numPr>
        <w:ilvl w:val="6"/>
        <w:numId w:val="1"/>
      </w:numPr>
      <w:shd w:val="clear" w:color="auto" w:fill="FFFFFF"/>
      <w:tabs>
        <w:tab w:val="left" w:pos="426"/>
      </w:tabs>
      <w:adjustRightInd w:val="0"/>
      <w:snapToGrid w:val="0"/>
      <w:spacing w:before="240" w:after="64" w:line="319" w:lineRule="auto"/>
      <w:outlineLvl w:val="6"/>
    </w:pPr>
    <w:rPr>
      <w:rFonts w:ascii="Times New Roman" w:hAnsi="Times New Roman" w:eastAsia="宋体" w:cs="Times New Roman"/>
      <w:b/>
      <w:sz w:val="24"/>
      <w:szCs w:val="20"/>
    </w:rPr>
  </w:style>
  <w:style w:type="paragraph" w:styleId="11">
    <w:name w:val="heading 8"/>
    <w:basedOn w:val="1"/>
    <w:next w:val="8"/>
    <w:link w:val="115"/>
    <w:autoRedefine/>
    <w:qFormat/>
    <w:uiPriority w:val="0"/>
    <w:pPr>
      <w:keepNext/>
      <w:keepLines/>
      <w:widowControl/>
      <w:numPr>
        <w:ilvl w:val="7"/>
        <w:numId w:val="1"/>
      </w:numPr>
      <w:shd w:val="clear" w:color="auto" w:fill="FFFFFF"/>
      <w:tabs>
        <w:tab w:val="left" w:pos="426"/>
      </w:tabs>
      <w:adjustRightInd w:val="0"/>
      <w:snapToGrid w:val="0"/>
      <w:spacing w:before="240" w:after="64" w:line="319" w:lineRule="auto"/>
      <w:outlineLvl w:val="7"/>
    </w:pPr>
    <w:rPr>
      <w:rFonts w:ascii="Arial" w:hAnsi="Arial" w:eastAsia="黑体" w:cs="Times New Roman"/>
      <w:sz w:val="24"/>
      <w:szCs w:val="20"/>
    </w:rPr>
  </w:style>
  <w:style w:type="paragraph" w:styleId="12">
    <w:name w:val="heading 9"/>
    <w:basedOn w:val="1"/>
    <w:next w:val="8"/>
    <w:link w:val="116"/>
    <w:autoRedefine/>
    <w:qFormat/>
    <w:uiPriority w:val="0"/>
    <w:pPr>
      <w:keepNext/>
      <w:keepLines/>
      <w:widowControl/>
      <w:numPr>
        <w:ilvl w:val="8"/>
        <w:numId w:val="1"/>
      </w:numPr>
      <w:shd w:val="clear" w:color="auto" w:fill="FFFFFF"/>
      <w:tabs>
        <w:tab w:val="left" w:pos="426"/>
      </w:tabs>
      <w:adjustRightInd w:val="0"/>
      <w:snapToGrid w:val="0"/>
      <w:spacing w:before="240" w:after="64" w:line="319" w:lineRule="auto"/>
      <w:outlineLvl w:val="8"/>
    </w:pPr>
    <w:rPr>
      <w:rFonts w:ascii="Arial" w:hAnsi="Arial" w:eastAsia="黑体" w:cs="Times New Roman"/>
      <w:szCs w:val="20"/>
    </w:rPr>
  </w:style>
  <w:style w:type="character" w:default="1" w:styleId="8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customStyle="1" w:styleId="2">
    <w:name w:val="样式 4 10 磅2"/>
    <w:autoRedefine/>
    <w:qFormat/>
    <w:uiPriority w:val="0"/>
    <w:pPr>
      <w:widowControl w:val="0"/>
      <w:jc w:val="both"/>
    </w:pPr>
    <w:rPr>
      <w:rFonts w:ascii="等线" w:hAnsi="Times New Roman" w:eastAsia="等线" w:cs="Times New Roman"/>
      <w:kern w:val="2"/>
      <w:sz w:val="21"/>
      <w:szCs w:val="22"/>
      <w:lang w:val="en-US" w:eastAsia="zh-CN" w:bidi="ar-SA"/>
    </w:rPr>
  </w:style>
  <w:style w:type="paragraph" w:styleId="8">
    <w:name w:val="Normal Indent"/>
    <w:basedOn w:val="1"/>
    <w:link w:val="143"/>
    <w:autoRedefine/>
    <w:qFormat/>
    <w:uiPriority w:val="0"/>
    <w:pPr>
      <w:widowControl/>
      <w:shd w:val="clear" w:color="auto" w:fill="FFFFFF"/>
      <w:tabs>
        <w:tab w:val="left" w:pos="426"/>
      </w:tabs>
      <w:adjustRightInd w:val="0"/>
      <w:snapToGrid w:val="0"/>
      <w:spacing w:line="360" w:lineRule="auto"/>
      <w:ind w:firstLine="420"/>
    </w:pPr>
    <w:rPr>
      <w:rFonts w:ascii="Times New Roman" w:hAnsi="Times New Roman" w:eastAsia="宋体" w:cs="Times New Roman"/>
      <w:szCs w:val="20"/>
    </w:rPr>
  </w:style>
  <w:style w:type="paragraph" w:styleId="13">
    <w:name w:val="List 3"/>
    <w:basedOn w:val="1"/>
    <w:autoRedefine/>
    <w:qFormat/>
    <w:uiPriority w:val="0"/>
    <w:pPr>
      <w:ind w:left="600" w:leftChars="400" w:hanging="200" w:hangingChars="200"/>
    </w:pPr>
    <w:rPr>
      <w:rFonts w:ascii="Times New Roman" w:hAnsi="Times New Roman" w:eastAsia="宋体" w:cs="Times New Roman"/>
      <w:szCs w:val="24"/>
    </w:rPr>
  </w:style>
  <w:style w:type="paragraph" w:styleId="14">
    <w:name w:val="toc 7"/>
    <w:basedOn w:val="1"/>
    <w:next w:val="1"/>
    <w:autoRedefine/>
    <w:qFormat/>
    <w:uiPriority w:val="39"/>
    <w:pPr>
      <w:widowControl/>
      <w:shd w:val="clear" w:color="auto" w:fill="FFFFFF"/>
      <w:tabs>
        <w:tab w:val="left" w:pos="426"/>
      </w:tabs>
      <w:adjustRightInd w:val="0"/>
      <w:snapToGrid w:val="0"/>
      <w:spacing w:line="360" w:lineRule="auto"/>
      <w:ind w:left="1260"/>
      <w:jc w:val="left"/>
    </w:pPr>
    <w:rPr>
      <w:rFonts w:ascii="宋体" w:hAnsi="Times New Roman" w:eastAsia="宋体" w:cs="宋体"/>
      <w:kern w:val="0"/>
      <w:szCs w:val="21"/>
    </w:rPr>
  </w:style>
  <w:style w:type="paragraph" w:styleId="15">
    <w:name w:val="List Number 2"/>
    <w:basedOn w:val="1"/>
    <w:autoRedefine/>
    <w:qFormat/>
    <w:uiPriority w:val="0"/>
    <w:pPr>
      <w:widowControl/>
      <w:numPr>
        <w:ilvl w:val="0"/>
        <w:numId w:val="2"/>
      </w:numPr>
      <w:shd w:val="clear" w:color="auto" w:fill="FFFFFF"/>
      <w:tabs>
        <w:tab w:val="left" w:pos="426"/>
        <w:tab w:val="left" w:pos="820"/>
      </w:tabs>
      <w:adjustRightInd w:val="0"/>
      <w:snapToGrid w:val="0"/>
      <w:spacing w:afterLines="50" w:line="360" w:lineRule="auto"/>
    </w:pPr>
    <w:rPr>
      <w:rFonts w:ascii="宋体" w:hAnsi="Times New Roman" w:eastAsia="宋体" w:cs="宋体"/>
      <w:kern w:val="0"/>
      <w:sz w:val="24"/>
      <w:szCs w:val="20"/>
    </w:rPr>
  </w:style>
  <w:style w:type="paragraph" w:styleId="16">
    <w:name w:val="Note Heading"/>
    <w:basedOn w:val="1"/>
    <w:next w:val="1"/>
    <w:link w:val="117"/>
    <w:autoRedefine/>
    <w:qFormat/>
    <w:uiPriority w:val="0"/>
    <w:pPr>
      <w:jc w:val="center"/>
    </w:pPr>
    <w:rPr>
      <w:rFonts w:ascii="Times New Roman" w:hAnsi="Times New Roman" w:eastAsia="宋体" w:cs="Times New Roman"/>
      <w:szCs w:val="24"/>
    </w:rPr>
  </w:style>
  <w:style w:type="paragraph" w:styleId="17">
    <w:name w:val="List Bullet 4"/>
    <w:basedOn w:val="1"/>
    <w:autoRedefine/>
    <w:qFormat/>
    <w:uiPriority w:val="0"/>
    <w:pPr>
      <w:numPr>
        <w:ilvl w:val="0"/>
        <w:numId w:val="3"/>
      </w:numPr>
    </w:pPr>
    <w:rPr>
      <w:rFonts w:ascii="Times New Roman" w:hAnsi="Times New Roman" w:eastAsia="宋体" w:cs="Times New Roman"/>
      <w:szCs w:val="24"/>
    </w:rPr>
  </w:style>
  <w:style w:type="paragraph" w:styleId="18">
    <w:name w:val="index 8"/>
    <w:basedOn w:val="1"/>
    <w:next w:val="1"/>
    <w:autoRedefine/>
    <w:qFormat/>
    <w:uiPriority w:val="0"/>
    <w:pPr>
      <w:ind w:left="1680" w:hanging="210"/>
      <w:jc w:val="left"/>
    </w:pPr>
    <w:rPr>
      <w:rFonts w:ascii="Times New Roman" w:hAnsi="Times New Roman" w:eastAsia="宋体" w:cs="Times New Roman"/>
      <w:sz w:val="20"/>
      <w:szCs w:val="20"/>
    </w:rPr>
  </w:style>
  <w:style w:type="paragraph" w:styleId="19">
    <w:name w:val="E-mail Signature"/>
    <w:basedOn w:val="1"/>
    <w:link w:val="118"/>
    <w:autoRedefine/>
    <w:qFormat/>
    <w:uiPriority w:val="0"/>
    <w:rPr>
      <w:rFonts w:ascii="Times New Roman" w:hAnsi="Times New Roman" w:eastAsia="宋体" w:cs="Times New Roman"/>
      <w:szCs w:val="24"/>
    </w:rPr>
  </w:style>
  <w:style w:type="paragraph" w:styleId="20">
    <w:name w:val="List Number"/>
    <w:basedOn w:val="1"/>
    <w:autoRedefine/>
    <w:qFormat/>
    <w:uiPriority w:val="0"/>
    <w:pPr>
      <w:numPr>
        <w:ilvl w:val="0"/>
        <w:numId w:val="4"/>
      </w:numPr>
    </w:pPr>
    <w:rPr>
      <w:rFonts w:ascii="Times New Roman" w:hAnsi="Times New Roman" w:eastAsia="宋体" w:cs="Times New Roman"/>
      <w:szCs w:val="24"/>
    </w:rPr>
  </w:style>
  <w:style w:type="paragraph" w:styleId="21">
    <w:name w:val="caption"/>
    <w:basedOn w:val="1"/>
    <w:next w:val="1"/>
    <w:autoRedefine/>
    <w:qFormat/>
    <w:uiPriority w:val="0"/>
    <w:pPr>
      <w:widowControl/>
      <w:shd w:val="clear" w:color="auto" w:fill="FFFFFF"/>
      <w:tabs>
        <w:tab w:val="left" w:pos="426"/>
      </w:tabs>
      <w:adjustRightInd w:val="0"/>
      <w:snapToGrid w:val="0"/>
      <w:spacing w:line="360" w:lineRule="auto"/>
    </w:pPr>
    <w:rPr>
      <w:rFonts w:ascii="Arial" w:hAnsi="Arial" w:eastAsia="黑体" w:cs="Arial"/>
      <w:kern w:val="0"/>
      <w:sz w:val="20"/>
      <w:szCs w:val="20"/>
    </w:rPr>
  </w:style>
  <w:style w:type="paragraph" w:styleId="22">
    <w:name w:val="index 5"/>
    <w:basedOn w:val="1"/>
    <w:next w:val="1"/>
    <w:autoRedefine/>
    <w:qFormat/>
    <w:uiPriority w:val="0"/>
    <w:pPr>
      <w:ind w:left="1050" w:hanging="210"/>
      <w:jc w:val="left"/>
    </w:pPr>
    <w:rPr>
      <w:rFonts w:ascii="Times New Roman" w:hAnsi="Times New Roman" w:eastAsia="宋体" w:cs="Times New Roman"/>
      <w:sz w:val="20"/>
      <w:szCs w:val="20"/>
    </w:rPr>
  </w:style>
  <w:style w:type="paragraph" w:styleId="23">
    <w:name w:val="List Bullet"/>
    <w:basedOn w:val="1"/>
    <w:autoRedefine/>
    <w:qFormat/>
    <w:uiPriority w:val="0"/>
    <w:pPr>
      <w:widowControl/>
      <w:shd w:val="clear" w:color="auto" w:fill="FFFFFF"/>
      <w:tabs>
        <w:tab w:val="left" w:pos="360"/>
        <w:tab w:val="left" w:pos="426"/>
      </w:tabs>
      <w:adjustRightInd w:val="0"/>
      <w:snapToGrid w:val="0"/>
      <w:spacing w:line="360" w:lineRule="auto"/>
      <w:ind w:left="200" w:hanging="200" w:hangingChars="200"/>
    </w:pPr>
    <w:rPr>
      <w:rFonts w:ascii="宋体" w:hAnsi="Times New Roman" w:eastAsia="宋体" w:cs="宋体"/>
      <w:kern w:val="0"/>
      <w:szCs w:val="20"/>
    </w:rPr>
  </w:style>
  <w:style w:type="paragraph" w:styleId="24">
    <w:name w:val="envelope address"/>
    <w:basedOn w:val="1"/>
    <w:autoRedefine/>
    <w:qFormat/>
    <w:uiPriority w:val="0"/>
    <w:pPr>
      <w:framePr w:w="7920" w:h="1980" w:hRule="exact" w:hSpace="180" w:wrap="around" w:vAnchor="margin" w:hAnchor="page" w:xAlign="center" w:yAlign="bottom"/>
      <w:snapToGrid w:val="0"/>
      <w:ind w:left="1400" w:leftChars="1400"/>
    </w:pPr>
    <w:rPr>
      <w:rFonts w:ascii="Arial" w:hAnsi="Arial" w:eastAsia="宋体" w:cs="Arial"/>
      <w:sz w:val="24"/>
      <w:szCs w:val="24"/>
    </w:rPr>
  </w:style>
  <w:style w:type="paragraph" w:styleId="25">
    <w:name w:val="Document Map"/>
    <w:basedOn w:val="1"/>
    <w:link w:val="119"/>
    <w:autoRedefine/>
    <w:qFormat/>
    <w:uiPriority w:val="0"/>
    <w:pPr>
      <w:widowControl/>
      <w:shd w:val="clear" w:color="auto" w:fill="000080"/>
      <w:tabs>
        <w:tab w:val="left" w:pos="426"/>
      </w:tabs>
      <w:adjustRightInd w:val="0"/>
      <w:snapToGrid w:val="0"/>
      <w:spacing w:line="360" w:lineRule="auto"/>
    </w:pPr>
    <w:rPr>
      <w:rFonts w:ascii="Times New Roman" w:hAnsi="Times New Roman" w:eastAsia="宋体" w:cs="Times New Roman"/>
      <w:szCs w:val="24"/>
    </w:rPr>
  </w:style>
  <w:style w:type="paragraph" w:styleId="26">
    <w:name w:val="toa heading"/>
    <w:basedOn w:val="1"/>
    <w:next w:val="1"/>
    <w:autoRedefine/>
    <w:qFormat/>
    <w:uiPriority w:val="0"/>
    <w:pPr>
      <w:widowControl/>
      <w:shd w:val="clear" w:color="auto" w:fill="FFFFFF"/>
      <w:tabs>
        <w:tab w:val="left" w:pos="426"/>
      </w:tabs>
      <w:adjustRightInd w:val="0"/>
      <w:snapToGrid w:val="0"/>
      <w:spacing w:before="120" w:line="360" w:lineRule="auto"/>
    </w:pPr>
    <w:rPr>
      <w:rFonts w:ascii="Arial" w:hAnsi="Arial" w:eastAsia="宋体" w:cs="宋体"/>
      <w:kern w:val="0"/>
      <w:sz w:val="24"/>
      <w:szCs w:val="20"/>
    </w:rPr>
  </w:style>
  <w:style w:type="paragraph" w:styleId="27">
    <w:name w:val="annotation text"/>
    <w:basedOn w:val="1"/>
    <w:link w:val="144"/>
    <w:autoRedefine/>
    <w:qFormat/>
    <w:uiPriority w:val="0"/>
    <w:pPr>
      <w:widowControl/>
      <w:shd w:val="clear" w:color="auto" w:fill="FFFFFF"/>
      <w:tabs>
        <w:tab w:val="left" w:pos="426"/>
      </w:tabs>
      <w:autoSpaceDE w:val="0"/>
      <w:autoSpaceDN w:val="0"/>
      <w:adjustRightInd w:val="0"/>
      <w:snapToGrid w:val="0"/>
      <w:spacing w:line="360" w:lineRule="auto"/>
      <w:jc w:val="center"/>
      <w:textAlignment w:val="baseline"/>
      <w:pPrChange w:id="0" w:author="Windows 用户" w:date="2024-11-29T17:06:00Z">
        <w:pPr>
          <w:shd w:val="clear" w:color="auto" w:fill="FFFFFF"/>
          <w:autoSpaceDE w:val="0"/>
          <w:autoSpaceDN w:val="0"/>
          <w:adjustRightInd w:val="0"/>
          <w:snapToGrid w:val="0"/>
          <w:spacing w:line="360" w:lineRule="auto"/>
          <w:jc w:val="center"/>
          <w:textAlignment w:val="baseline"/>
        </w:pPr>
      </w:pPrChange>
    </w:pPr>
    <w:rPr>
      <w:rFonts w:ascii="宋体" w:hAnsi="Times New Roman" w:eastAsia="宋体" w:cs="Times New Roman"/>
      <w:color w:val="FF0000"/>
      <w:kern w:val="0"/>
      <w:sz w:val="34"/>
      <w:szCs w:val="20"/>
      <w:rPrChange w:id="1" w:author="Windows 用户" w:date="2024-11-29T17:06:00Z">
        <w:rPr>
          <w:rFonts w:ascii="宋体" w:eastAsia="宋体"/>
          <w:sz w:val="34"/>
          <w:lang w:val="en-US" w:eastAsia="zh-CN" w:bidi="ar-SA"/>
        </w:rPr>
      </w:rPrChange>
    </w:rPr>
  </w:style>
  <w:style w:type="paragraph" w:styleId="28">
    <w:name w:val="index 6"/>
    <w:basedOn w:val="1"/>
    <w:next w:val="1"/>
    <w:qFormat/>
    <w:uiPriority w:val="0"/>
    <w:pPr>
      <w:ind w:left="1260" w:hanging="210"/>
      <w:jc w:val="left"/>
    </w:pPr>
    <w:rPr>
      <w:rFonts w:ascii="Times New Roman" w:hAnsi="Times New Roman" w:eastAsia="宋体" w:cs="Times New Roman"/>
      <w:sz w:val="20"/>
      <w:szCs w:val="20"/>
    </w:rPr>
  </w:style>
  <w:style w:type="paragraph" w:styleId="29">
    <w:name w:val="Salutation"/>
    <w:basedOn w:val="1"/>
    <w:next w:val="1"/>
    <w:link w:val="121"/>
    <w:autoRedefine/>
    <w:qFormat/>
    <w:uiPriority w:val="0"/>
    <w:rPr>
      <w:rFonts w:ascii="Times New Roman" w:hAnsi="Times New Roman" w:eastAsia="宋体" w:cs="Times New Roman"/>
      <w:szCs w:val="24"/>
    </w:rPr>
  </w:style>
  <w:style w:type="paragraph" w:styleId="30">
    <w:name w:val="Body Text 3"/>
    <w:basedOn w:val="1"/>
    <w:link w:val="122"/>
    <w:autoRedefine/>
    <w:qFormat/>
    <w:uiPriority w:val="0"/>
    <w:pPr>
      <w:widowControl/>
      <w:shd w:val="clear" w:color="auto" w:fill="FFFFFF"/>
      <w:tabs>
        <w:tab w:val="left" w:pos="426"/>
      </w:tabs>
      <w:adjustRightInd w:val="0"/>
      <w:snapToGrid w:val="0"/>
      <w:spacing w:after="120" w:line="360" w:lineRule="auto"/>
    </w:pPr>
    <w:rPr>
      <w:rFonts w:ascii="Times New Roman" w:hAnsi="Times New Roman" w:eastAsia="宋体" w:cs="Times New Roman"/>
      <w:sz w:val="16"/>
      <w:szCs w:val="16"/>
    </w:rPr>
  </w:style>
  <w:style w:type="paragraph" w:styleId="31">
    <w:name w:val="Closing"/>
    <w:basedOn w:val="1"/>
    <w:link w:val="123"/>
    <w:autoRedefine/>
    <w:qFormat/>
    <w:uiPriority w:val="0"/>
    <w:pPr>
      <w:ind w:left="2100" w:leftChars="2100"/>
    </w:pPr>
    <w:rPr>
      <w:rFonts w:ascii="Times New Roman" w:hAnsi="Times New Roman" w:eastAsia="宋体" w:cs="Times New Roman"/>
      <w:szCs w:val="24"/>
    </w:rPr>
  </w:style>
  <w:style w:type="paragraph" w:styleId="32">
    <w:name w:val="List Bullet 3"/>
    <w:basedOn w:val="1"/>
    <w:autoRedefine/>
    <w:qFormat/>
    <w:uiPriority w:val="0"/>
    <w:pPr>
      <w:numPr>
        <w:ilvl w:val="0"/>
        <w:numId w:val="5"/>
      </w:numPr>
    </w:pPr>
    <w:rPr>
      <w:rFonts w:ascii="Times New Roman" w:hAnsi="Times New Roman" w:eastAsia="宋体" w:cs="Times New Roman"/>
      <w:szCs w:val="24"/>
    </w:rPr>
  </w:style>
  <w:style w:type="paragraph" w:styleId="33">
    <w:name w:val="Body Text"/>
    <w:basedOn w:val="1"/>
    <w:link w:val="124"/>
    <w:autoRedefine/>
    <w:qFormat/>
    <w:uiPriority w:val="0"/>
    <w:pPr>
      <w:widowControl/>
      <w:shd w:val="clear" w:color="auto" w:fill="FFFFFF"/>
      <w:tabs>
        <w:tab w:val="left" w:pos="426"/>
      </w:tabs>
      <w:adjustRightInd w:val="0"/>
      <w:snapToGrid w:val="0"/>
      <w:spacing w:line="360" w:lineRule="auto"/>
    </w:pPr>
    <w:rPr>
      <w:rFonts w:ascii="宋体" w:hAnsi="Times New Roman" w:eastAsia="宋体" w:cs="Times New Roman"/>
      <w:b/>
      <w:bCs/>
      <w:kern w:val="0"/>
      <w:sz w:val="24"/>
      <w:szCs w:val="24"/>
    </w:rPr>
  </w:style>
  <w:style w:type="paragraph" w:styleId="34">
    <w:name w:val="Body Text Indent"/>
    <w:basedOn w:val="1"/>
    <w:link w:val="125"/>
    <w:autoRedefine/>
    <w:qFormat/>
    <w:uiPriority w:val="0"/>
    <w:pPr>
      <w:widowControl/>
      <w:shd w:val="clear" w:color="auto" w:fill="FFFFFF"/>
      <w:tabs>
        <w:tab w:val="left" w:pos="426"/>
      </w:tabs>
      <w:adjustRightInd w:val="0"/>
      <w:snapToGrid w:val="0"/>
      <w:spacing w:line="360" w:lineRule="auto"/>
      <w:ind w:firstLine="200" w:firstLineChars="200"/>
    </w:pPr>
    <w:rPr>
      <w:rFonts w:ascii="Times New Roman" w:hAnsi="Times New Roman" w:eastAsia="宋体" w:cs="Times New Roman"/>
      <w:szCs w:val="24"/>
    </w:rPr>
  </w:style>
  <w:style w:type="paragraph" w:styleId="35">
    <w:name w:val="List Number 3"/>
    <w:basedOn w:val="1"/>
    <w:autoRedefine/>
    <w:qFormat/>
    <w:uiPriority w:val="0"/>
    <w:pPr>
      <w:numPr>
        <w:ilvl w:val="0"/>
        <w:numId w:val="6"/>
      </w:numPr>
    </w:pPr>
    <w:rPr>
      <w:rFonts w:ascii="Times New Roman" w:hAnsi="Times New Roman" w:eastAsia="宋体" w:cs="Times New Roman"/>
      <w:szCs w:val="24"/>
    </w:rPr>
  </w:style>
  <w:style w:type="paragraph" w:styleId="36">
    <w:name w:val="List 2"/>
    <w:basedOn w:val="1"/>
    <w:autoRedefine/>
    <w:qFormat/>
    <w:uiPriority w:val="0"/>
    <w:pPr>
      <w:ind w:left="400" w:leftChars="200" w:hanging="200" w:hangingChars="200"/>
    </w:pPr>
    <w:rPr>
      <w:rFonts w:ascii="Times New Roman" w:hAnsi="Times New Roman" w:eastAsia="宋体" w:cs="Times New Roman"/>
      <w:szCs w:val="24"/>
    </w:rPr>
  </w:style>
  <w:style w:type="paragraph" w:styleId="37">
    <w:name w:val="List Continue"/>
    <w:basedOn w:val="1"/>
    <w:autoRedefine/>
    <w:qFormat/>
    <w:uiPriority w:val="0"/>
    <w:pPr>
      <w:spacing w:after="120"/>
      <w:ind w:left="200" w:leftChars="200"/>
    </w:pPr>
    <w:rPr>
      <w:rFonts w:ascii="Times New Roman" w:hAnsi="Times New Roman" w:eastAsia="宋体" w:cs="Times New Roman"/>
      <w:szCs w:val="24"/>
    </w:rPr>
  </w:style>
  <w:style w:type="paragraph" w:styleId="38">
    <w:name w:val="Block Text"/>
    <w:basedOn w:val="1"/>
    <w:autoRedefine/>
    <w:qFormat/>
    <w:uiPriority w:val="0"/>
    <w:pPr>
      <w:spacing w:after="120"/>
      <w:ind w:left="700" w:leftChars="700" w:right="700" w:rightChars="700"/>
    </w:pPr>
    <w:rPr>
      <w:rFonts w:ascii="Times New Roman" w:hAnsi="Times New Roman" w:eastAsia="宋体" w:cs="Times New Roman"/>
      <w:szCs w:val="24"/>
    </w:rPr>
  </w:style>
  <w:style w:type="paragraph" w:styleId="39">
    <w:name w:val="List Bullet 2"/>
    <w:basedOn w:val="1"/>
    <w:autoRedefine/>
    <w:qFormat/>
    <w:uiPriority w:val="0"/>
    <w:pPr>
      <w:numPr>
        <w:ilvl w:val="0"/>
        <w:numId w:val="7"/>
      </w:numPr>
    </w:pPr>
    <w:rPr>
      <w:rFonts w:ascii="Times New Roman" w:hAnsi="Times New Roman" w:eastAsia="宋体" w:cs="Times New Roman"/>
      <w:szCs w:val="24"/>
    </w:rPr>
  </w:style>
  <w:style w:type="paragraph" w:styleId="40">
    <w:name w:val="HTML Address"/>
    <w:basedOn w:val="1"/>
    <w:link w:val="126"/>
    <w:autoRedefine/>
    <w:qFormat/>
    <w:uiPriority w:val="0"/>
    <w:rPr>
      <w:rFonts w:ascii="Times New Roman" w:hAnsi="Times New Roman" w:eastAsia="宋体" w:cs="Times New Roman"/>
      <w:i/>
      <w:iCs/>
      <w:szCs w:val="24"/>
    </w:rPr>
  </w:style>
  <w:style w:type="paragraph" w:styleId="41">
    <w:name w:val="index 4"/>
    <w:basedOn w:val="1"/>
    <w:next w:val="1"/>
    <w:autoRedefine/>
    <w:qFormat/>
    <w:uiPriority w:val="0"/>
    <w:pPr>
      <w:ind w:left="840" w:hanging="210"/>
      <w:jc w:val="left"/>
    </w:pPr>
    <w:rPr>
      <w:rFonts w:ascii="Times New Roman" w:hAnsi="Times New Roman" w:eastAsia="宋体" w:cs="Times New Roman"/>
      <w:sz w:val="20"/>
      <w:szCs w:val="20"/>
    </w:rPr>
  </w:style>
  <w:style w:type="paragraph" w:styleId="42">
    <w:name w:val="toc 5"/>
    <w:basedOn w:val="1"/>
    <w:next w:val="1"/>
    <w:autoRedefine/>
    <w:qFormat/>
    <w:uiPriority w:val="39"/>
    <w:pPr>
      <w:widowControl/>
      <w:shd w:val="clear" w:color="auto" w:fill="FFFFFF"/>
      <w:tabs>
        <w:tab w:val="left" w:pos="426"/>
      </w:tabs>
      <w:adjustRightInd w:val="0"/>
      <w:snapToGrid w:val="0"/>
      <w:spacing w:line="360" w:lineRule="auto"/>
      <w:ind w:left="840"/>
      <w:jc w:val="left"/>
    </w:pPr>
    <w:rPr>
      <w:rFonts w:ascii="宋体" w:hAnsi="Times New Roman" w:eastAsia="宋体" w:cs="宋体"/>
      <w:kern w:val="0"/>
      <w:szCs w:val="21"/>
    </w:rPr>
  </w:style>
  <w:style w:type="paragraph" w:styleId="43">
    <w:name w:val="toc 3"/>
    <w:basedOn w:val="1"/>
    <w:next w:val="1"/>
    <w:autoRedefine/>
    <w:qFormat/>
    <w:uiPriority w:val="39"/>
    <w:pPr>
      <w:widowControl/>
      <w:shd w:val="clear" w:color="auto" w:fill="FFFFFF"/>
      <w:tabs>
        <w:tab w:val="left" w:pos="426"/>
      </w:tabs>
      <w:adjustRightInd w:val="0"/>
      <w:snapToGrid w:val="0"/>
      <w:spacing w:line="360" w:lineRule="auto"/>
      <w:ind w:left="420"/>
      <w:jc w:val="left"/>
    </w:pPr>
    <w:rPr>
      <w:rFonts w:ascii="宋体" w:hAnsi="Times New Roman" w:eastAsia="宋体" w:cs="宋体"/>
      <w:i/>
      <w:iCs/>
      <w:kern w:val="0"/>
      <w:szCs w:val="24"/>
    </w:rPr>
  </w:style>
  <w:style w:type="paragraph" w:styleId="44">
    <w:name w:val="Plain Text"/>
    <w:basedOn w:val="1"/>
    <w:link w:val="127"/>
    <w:autoRedefine/>
    <w:qFormat/>
    <w:uiPriority w:val="0"/>
    <w:pPr>
      <w:widowControl/>
      <w:shd w:val="clear" w:color="auto" w:fill="FFFFFF"/>
      <w:tabs>
        <w:tab w:val="left" w:pos="426"/>
      </w:tabs>
      <w:adjustRightInd w:val="0"/>
      <w:snapToGrid w:val="0"/>
      <w:spacing w:line="360" w:lineRule="auto"/>
    </w:pPr>
    <w:rPr>
      <w:rFonts w:ascii="宋体" w:hAnsi="Times New Roman" w:eastAsia="宋体" w:cs="Times New Roman"/>
      <w:szCs w:val="20"/>
    </w:rPr>
  </w:style>
  <w:style w:type="paragraph" w:styleId="45">
    <w:name w:val="List Bullet 5"/>
    <w:basedOn w:val="1"/>
    <w:autoRedefine/>
    <w:qFormat/>
    <w:uiPriority w:val="0"/>
    <w:pPr>
      <w:numPr>
        <w:ilvl w:val="0"/>
        <w:numId w:val="8"/>
      </w:numPr>
    </w:pPr>
    <w:rPr>
      <w:rFonts w:ascii="Times New Roman" w:hAnsi="Times New Roman" w:eastAsia="宋体" w:cs="Times New Roman"/>
      <w:szCs w:val="24"/>
    </w:rPr>
  </w:style>
  <w:style w:type="paragraph" w:styleId="46">
    <w:name w:val="List Number 4"/>
    <w:basedOn w:val="1"/>
    <w:autoRedefine/>
    <w:qFormat/>
    <w:uiPriority w:val="0"/>
    <w:pPr>
      <w:numPr>
        <w:ilvl w:val="0"/>
        <w:numId w:val="9"/>
      </w:numPr>
    </w:pPr>
    <w:rPr>
      <w:rFonts w:ascii="Times New Roman" w:hAnsi="Times New Roman" w:eastAsia="宋体" w:cs="Times New Roman"/>
      <w:szCs w:val="24"/>
    </w:rPr>
  </w:style>
  <w:style w:type="paragraph" w:styleId="47">
    <w:name w:val="toc 8"/>
    <w:basedOn w:val="1"/>
    <w:next w:val="1"/>
    <w:autoRedefine/>
    <w:qFormat/>
    <w:uiPriority w:val="39"/>
    <w:pPr>
      <w:widowControl/>
      <w:shd w:val="clear" w:color="auto" w:fill="FFFFFF"/>
      <w:tabs>
        <w:tab w:val="left" w:pos="426"/>
      </w:tabs>
      <w:adjustRightInd w:val="0"/>
      <w:snapToGrid w:val="0"/>
      <w:spacing w:line="360" w:lineRule="auto"/>
      <w:ind w:left="1470"/>
      <w:jc w:val="left"/>
    </w:pPr>
    <w:rPr>
      <w:rFonts w:ascii="宋体" w:hAnsi="Times New Roman" w:eastAsia="宋体" w:cs="宋体"/>
      <w:kern w:val="0"/>
      <w:szCs w:val="21"/>
    </w:rPr>
  </w:style>
  <w:style w:type="paragraph" w:styleId="48">
    <w:name w:val="index 3"/>
    <w:basedOn w:val="1"/>
    <w:next w:val="1"/>
    <w:autoRedefine/>
    <w:qFormat/>
    <w:uiPriority w:val="0"/>
    <w:pPr>
      <w:ind w:left="630" w:hanging="210"/>
      <w:jc w:val="left"/>
    </w:pPr>
    <w:rPr>
      <w:rFonts w:ascii="Times New Roman" w:hAnsi="Times New Roman" w:eastAsia="宋体" w:cs="Times New Roman"/>
      <w:sz w:val="20"/>
      <w:szCs w:val="20"/>
    </w:rPr>
  </w:style>
  <w:style w:type="paragraph" w:styleId="49">
    <w:name w:val="Date"/>
    <w:basedOn w:val="1"/>
    <w:next w:val="1"/>
    <w:link w:val="128"/>
    <w:autoRedefine/>
    <w:qFormat/>
    <w:uiPriority w:val="0"/>
    <w:pPr>
      <w:widowControl/>
      <w:shd w:val="clear" w:color="auto" w:fill="FFFFFF"/>
      <w:tabs>
        <w:tab w:val="left" w:pos="426"/>
      </w:tabs>
      <w:adjustRightInd w:val="0"/>
      <w:snapToGrid w:val="0"/>
      <w:spacing w:line="360" w:lineRule="auto"/>
    </w:pPr>
    <w:rPr>
      <w:rFonts w:ascii="宋体" w:hAnsi="Times New Roman" w:eastAsia="宋体" w:cs="Times New Roman"/>
      <w:sz w:val="32"/>
      <w:szCs w:val="20"/>
    </w:rPr>
  </w:style>
  <w:style w:type="paragraph" w:styleId="50">
    <w:name w:val="Body Text Indent 2"/>
    <w:basedOn w:val="1"/>
    <w:link w:val="129"/>
    <w:autoRedefine/>
    <w:qFormat/>
    <w:uiPriority w:val="0"/>
    <w:pPr>
      <w:widowControl/>
      <w:shd w:val="clear" w:color="auto" w:fill="FFFFFF"/>
      <w:tabs>
        <w:tab w:val="left" w:pos="426"/>
      </w:tabs>
      <w:adjustRightInd w:val="0"/>
      <w:snapToGrid w:val="0"/>
      <w:spacing w:beforeLines="50" w:afterLines="50" w:line="120" w:lineRule="auto"/>
      <w:ind w:firstLine="400" w:firstLineChars="400"/>
      <w:jc w:val="left"/>
    </w:pPr>
    <w:rPr>
      <w:rFonts w:ascii="宋体" w:hAnsi="Times New Roman" w:eastAsia="宋体" w:cs="Times New Roman"/>
      <w:szCs w:val="24"/>
    </w:rPr>
  </w:style>
  <w:style w:type="paragraph" w:styleId="51">
    <w:name w:val="endnote text"/>
    <w:basedOn w:val="1"/>
    <w:link w:val="130"/>
    <w:autoRedefine/>
    <w:qFormat/>
    <w:uiPriority w:val="0"/>
    <w:pPr>
      <w:snapToGrid w:val="0"/>
      <w:jc w:val="left"/>
    </w:pPr>
    <w:rPr>
      <w:rFonts w:ascii="Times New Roman" w:hAnsi="Times New Roman" w:eastAsia="宋体" w:cs="Times New Roman"/>
      <w:szCs w:val="24"/>
    </w:rPr>
  </w:style>
  <w:style w:type="paragraph" w:styleId="52">
    <w:name w:val="List Continue 5"/>
    <w:basedOn w:val="1"/>
    <w:autoRedefine/>
    <w:qFormat/>
    <w:uiPriority w:val="0"/>
    <w:pPr>
      <w:spacing w:after="120"/>
      <w:ind w:left="1000" w:leftChars="1000"/>
    </w:pPr>
    <w:rPr>
      <w:rFonts w:ascii="Times New Roman" w:hAnsi="Times New Roman" w:eastAsia="宋体" w:cs="Times New Roman"/>
      <w:szCs w:val="24"/>
    </w:rPr>
  </w:style>
  <w:style w:type="paragraph" w:styleId="53">
    <w:name w:val="Balloon Text"/>
    <w:basedOn w:val="1"/>
    <w:link w:val="145"/>
    <w:autoRedefine/>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18"/>
      <w:szCs w:val="18"/>
    </w:rPr>
  </w:style>
  <w:style w:type="paragraph" w:styleId="54">
    <w:name w:val="footer"/>
    <w:basedOn w:val="1"/>
    <w:link w:val="107"/>
    <w:unhideWhenUsed/>
    <w:qFormat/>
    <w:uiPriority w:val="0"/>
    <w:pPr>
      <w:tabs>
        <w:tab w:val="center" w:pos="4153"/>
        <w:tab w:val="right" w:pos="8306"/>
      </w:tabs>
      <w:snapToGrid w:val="0"/>
      <w:jc w:val="left"/>
    </w:pPr>
    <w:rPr>
      <w:sz w:val="18"/>
      <w:szCs w:val="18"/>
    </w:rPr>
  </w:style>
  <w:style w:type="paragraph" w:styleId="55">
    <w:name w:val="envelope return"/>
    <w:basedOn w:val="1"/>
    <w:autoRedefine/>
    <w:qFormat/>
    <w:uiPriority w:val="0"/>
    <w:pPr>
      <w:snapToGrid w:val="0"/>
    </w:pPr>
    <w:rPr>
      <w:rFonts w:ascii="Arial" w:hAnsi="Arial" w:eastAsia="宋体" w:cs="Arial"/>
      <w:szCs w:val="24"/>
    </w:rPr>
  </w:style>
  <w:style w:type="paragraph" w:styleId="56">
    <w:name w:val="header"/>
    <w:basedOn w:val="1"/>
    <w:link w:val="10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57">
    <w:name w:val="Signature"/>
    <w:basedOn w:val="1"/>
    <w:link w:val="132"/>
    <w:autoRedefine/>
    <w:qFormat/>
    <w:uiPriority w:val="0"/>
    <w:pPr>
      <w:ind w:left="2100" w:leftChars="2100"/>
    </w:pPr>
    <w:rPr>
      <w:rFonts w:ascii="Times New Roman" w:hAnsi="Times New Roman" w:eastAsia="宋体" w:cs="Times New Roman"/>
      <w:szCs w:val="24"/>
    </w:rPr>
  </w:style>
  <w:style w:type="paragraph" w:styleId="58">
    <w:name w:val="toc 1"/>
    <w:basedOn w:val="1"/>
    <w:next w:val="1"/>
    <w:autoRedefine/>
    <w:qFormat/>
    <w:uiPriority w:val="39"/>
    <w:pPr>
      <w:widowControl/>
      <w:shd w:val="clear" w:color="auto" w:fill="FFFFFF"/>
      <w:tabs>
        <w:tab w:val="left" w:pos="426"/>
        <w:tab w:val="right" w:leader="dot" w:pos="8789"/>
      </w:tabs>
      <w:spacing w:before="120" w:after="120" w:line="360" w:lineRule="auto"/>
      <w:jc w:val="left"/>
    </w:pPr>
    <w:rPr>
      <w:rFonts w:ascii="宋体" w:hAnsi="Times New Roman" w:eastAsia="宋体" w:cs="宋体"/>
      <w:b/>
      <w:bCs/>
      <w:caps/>
      <w:kern w:val="0"/>
      <w:sz w:val="28"/>
      <w:szCs w:val="24"/>
    </w:rPr>
  </w:style>
  <w:style w:type="paragraph" w:styleId="59">
    <w:name w:val="List Continue 4"/>
    <w:basedOn w:val="1"/>
    <w:autoRedefine/>
    <w:qFormat/>
    <w:uiPriority w:val="0"/>
    <w:pPr>
      <w:spacing w:after="120"/>
      <w:ind w:left="800" w:leftChars="800"/>
    </w:pPr>
    <w:rPr>
      <w:rFonts w:ascii="Times New Roman" w:hAnsi="Times New Roman" w:eastAsia="宋体" w:cs="Times New Roman"/>
      <w:szCs w:val="24"/>
    </w:rPr>
  </w:style>
  <w:style w:type="paragraph" w:styleId="60">
    <w:name w:val="toc 4"/>
    <w:basedOn w:val="1"/>
    <w:next w:val="1"/>
    <w:autoRedefine/>
    <w:qFormat/>
    <w:uiPriority w:val="39"/>
    <w:pPr>
      <w:widowControl/>
      <w:shd w:val="clear" w:color="auto" w:fill="FFFFFF"/>
      <w:tabs>
        <w:tab w:val="left" w:pos="426"/>
      </w:tabs>
      <w:adjustRightInd w:val="0"/>
      <w:snapToGrid w:val="0"/>
      <w:spacing w:line="360" w:lineRule="auto"/>
      <w:ind w:left="630"/>
      <w:jc w:val="left"/>
    </w:pPr>
    <w:rPr>
      <w:rFonts w:ascii="宋体" w:hAnsi="Times New Roman" w:eastAsia="宋体" w:cs="宋体"/>
      <w:kern w:val="0"/>
      <w:szCs w:val="21"/>
    </w:rPr>
  </w:style>
  <w:style w:type="paragraph" w:styleId="61">
    <w:name w:val="index heading"/>
    <w:basedOn w:val="1"/>
    <w:next w:val="62"/>
    <w:autoRedefine/>
    <w:qFormat/>
    <w:uiPriority w:val="0"/>
    <w:pPr>
      <w:spacing w:before="120" w:after="120"/>
      <w:jc w:val="left"/>
    </w:pPr>
    <w:rPr>
      <w:rFonts w:ascii="Times New Roman" w:hAnsi="Times New Roman" w:eastAsia="宋体" w:cs="Times New Roman"/>
      <w:b/>
      <w:bCs/>
      <w:i/>
      <w:iCs/>
      <w:sz w:val="20"/>
      <w:szCs w:val="20"/>
    </w:rPr>
  </w:style>
  <w:style w:type="paragraph" w:styleId="62">
    <w:name w:val="index 1"/>
    <w:basedOn w:val="1"/>
    <w:next w:val="1"/>
    <w:autoRedefine/>
    <w:unhideWhenUsed/>
    <w:qFormat/>
    <w:uiPriority w:val="0"/>
  </w:style>
  <w:style w:type="paragraph" w:styleId="63">
    <w:name w:val="Subtitle"/>
    <w:basedOn w:val="1"/>
    <w:next w:val="1"/>
    <w:link w:val="133"/>
    <w:autoRedefine/>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eastAsia="宋体" w:cs="Times New Roman"/>
      <w:b/>
      <w:bCs/>
      <w:kern w:val="28"/>
      <w:sz w:val="28"/>
      <w:szCs w:val="32"/>
    </w:rPr>
  </w:style>
  <w:style w:type="paragraph" w:styleId="64">
    <w:name w:val="List Number 5"/>
    <w:basedOn w:val="1"/>
    <w:autoRedefine/>
    <w:qFormat/>
    <w:uiPriority w:val="0"/>
    <w:pPr>
      <w:numPr>
        <w:ilvl w:val="0"/>
        <w:numId w:val="10"/>
      </w:numPr>
    </w:pPr>
    <w:rPr>
      <w:rFonts w:ascii="Times New Roman" w:hAnsi="Times New Roman" w:eastAsia="宋体" w:cs="Times New Roman"/>
      <w:szCs w:val="24"/>
    </w:rPr>
  </w:style>
  <w:style w:type="paragraph" w:styleId="65">
    <w:name w:val="List"/>
    <w:basedOn w:val="1"/>
    <w:autoRedefine/>
    <w:qFormat/>
    <w:uiPriority w:val="0"/>
    <w:pPr>
      <w:ind w:left="200" w:hanging="200" w:hangingChars="200"/>
    </w:pPr>
    <w:rPr>
      <w:rFonts w:ascii="Times New Roman" w:hAnsi="Times New Roman" w:eastAsia="宋体" w:cs="Times New Roman"/>
      <w:szCs w:val="24"/>
    </w:rPr>
  </w:style>
  <w:style w:type="paragraph" w:styleId="66">
    <w:name w:val="footnote text"/>
    <w:basedOn w:val="1"/>
    <w:link w:val="134"/>
    <w:autoRedefine/>
    <w:qFormat/>
    <w:uiPriority w:val="0"/>
    <w:pPr>
      <w:snapToGrid w:val="0"/>
      <w:jc w:val="left"/>
    </w:pPr>
    <w:rPr>
      <w:rFonts w:ascii="Times New Roman" w:hAnsi="Times New Roman" w:eastAsia="宋体" w:cs="Times New Roman"/>
      <w:sz w:val="18"/>
      <w:szCs w:val="24"/>
    </w:rPr>
  </w:style>
  <w:style w:type="paragraph" w:styleId="67">
    <w:name w:val="toc 6"/>
    <w:basedOn w:val="1"/>
    <w:next w:val="1"/>
    <w:autoRedefine/>
    <w:qFormat/>
    <w:uiPriority w:val="39"/>
    <w:pPr>
      <w:widowControl/>
      <w:shd w:val="clear" w:color="auto" w:fill="FFFFFF"/>
      <w:tabs>
        <w:tab w:val="left" w:pos="426"/>
      </w:tabs>
      <w:adjustRightInd w:val="0"/>
      <w:snapToGrid w:val="0"/>
      <w:spacing w:line="360" w:lineRule="auto"/>
      <w:ind w:left="1050"/>
      <w:jc w:val="left"/>
    </w:pPr>
    <w:rPr>
      <w:rFonts w:ascii="宋体" w:hAnsi="Times New Roman" w:eastAsia="宋体" w:cs="宋体"/>
      <w:kern w:val="0"/>
      <w:szCs w:val="21"/>
    </w:rPr>
  </w:style>
  <w:style w:type="paragraph" w:styleId="68">
    <w:name w:val="List 5"/>
    <w:basedOn w:val="1"/>
    <w:autoRedefine/>
    <w:qFormat/>
    <w:uiPriority w:val="0"/>
    <w:pPr>
      <w:ind w:left="1000" w:leftChars="800" w:hanging="200" w:hangingChars="200"/>
    </w:pPr>
    <w:rPr>
      <w:rFonts w:ascii="Times New Roman" w:hAnsi="Times New Roman" w:eastAsia="宋体" w:cs="Times New Roman"/>
      <w:szCs w:val="24"/>
    </w:rPr>
  </w:style>
  <w:style w:type="paragraph" w:styleId="69">
    <w:name w:val="Body Text Indent 3"/>
    <w:basedOn w:val="1"/>
    <w:link w:val="135"/>
    <w:autoRedefine/>
    <w:qFormat/>
    <w:uiPriority w:val="0"/>
    <w:pPr>
      <w:widowControl/>
      <w:shd w:val="clear" w:color="auto" w:fill="FFFFFF"/>
      <w:tabs>
        <w:tab w:val="left" w:pos="426"/>
      </w:tabs>
      <w:adjustRightInd w:val="0"/>
      <w:snapToGrid w:val="0"/>
      <w:spacing w:line="360" w:lineRule="auto"/>
      <w:ind w:firstLine="200" w:firstLineChars="200"/>
    </w:pPr>
    <w:rPr>
      <w:rFonts w:ascii="宋体" w:hAnsi="Times New Roman" w:eastAsia="宋体" w:cs="Times New Roman"/>
      <w:b/>
      <w:bCs/>
      <w:sz w:val="24"/>
      <w:szCs w:val="24"/>
    </w:rPr>
  </w:style>
  <w:style w:type="paragraph" w:styleId="70">
    <w:name w:val="index 7"/>
    <w:basedOn w:val="1"/>
    <w:next w:val="1"/>
    <w:autoRedefine/>
    <w:qFormat/>
    <w:uiPriority w:val="0"/>
    <w:pPr>
      <w:ind w:left="1470" w:hanging="210"/>
      <w:jc w:val="left"/>
    </w:pPr>
    <w:rPr>
      <w:rFonts w:ascii="Times New Roman" w:hAnsi="Times New Roman" w:eastAsia="宋体" w:cs="Times New Roman"/>
      <w:sz w:val="20"/>
      <w:szCs w:val="20"/>
    </w:rPr>
  </w:style>
  <w:style w:type="paragraph" w:styleId="71">
    <w:name w:val="index 9"/>
    <w:basedOn w:val="1"/>
    <w:next w:val="1"/>
    <w:autoRedefine/>
    <w:qFormat/>
    <w:uiPriority w:val="0"/>
    <w:pPr>
      <w:ind w:left="1890" w:hanging="210"/>
      <w:jc w:val="left"/>
    </w:pPr>
    <w:rPr>
      <w:rFonts w:ascii="Times New Roman" w:hAnsi="Times New Roman" w:eastAsia="宋体" w:cs="Times New Roman"/>
      <w:sz w:val="20"/>
      <w:szCs w:val="20"/>
    </w:rPr>
  </w:style>
  <w:style w:type="paragraph" w:styleId="72">
    <w:name w:val="toc 2"/>
    <w:basedOn w:val="1"/>
    <w:next w:val="1"/>
    <w:autoRedefine/>
    <w:qFormat/>
    <w:uiPriority w:val="39"/>
    <w:pPr>
      <w:widowControl/>
      <w:shd w:val="clear" w:color="auto" w:fill="FFFFFF"/>
      <w:tabs>
        <w:tab w:val="right" w:leader="dot" w:pos="8789"/>
      </w:tabs>
      <w:spacing w:line="300" w:lineRule="auto"/>
      <w:ind w:left="50" w:leftChars="50"/>
    </w:pPr>
    <w:rPr>
      <w:rFonts w:ascii="宋体" w:hAnsi="Times New Roman" w:eastAsia="宋体" w:cs="宋体"/>
      <w:smallCaps/>
      <w:kern w:val="0"/>
      <w:sz w:val="28"/>
      <w:szCs w:val="24"/>
    </w:rPr>
  </w:style>
  <w:style w:type="paragraph" w:styleId="73">
    <w:name w:val="toc 9"/>
    <w:basedOn w:val="1"/>
    <w:next w:val="1"/>
    <w:autoRedefine/>
    <w:qFormat/>
    <w:uiPriority w:val="39"/>
    <w:pPr>
      <w:widowControl/>
      <w:shd w:val="clear" w:color="auto" w:fill="FFFFFF"/>
      <w:tabs>
        <w:tab w:val="left" w:pos="426"/>
      </w:tabs>
      <w:adjustRightInd w:val="0"/>
      <w:snapToGrid w:val="0"/>
      <w:spacing w:line="360" w:lineRule="auto"/>
      <w:ind w:left="1680"/>
      <w:jc w:val="left"/>
    </w:pPr>
    <w:rPr>
      <w:rFonts w:ascii="宋体" w:hAnsi="Times New Roman" w:eastAsia="宋体" w:cs="宋体"/>
      <w:kern w:val="0"/>
      <w:szCs w:val="21"/>
    </w:rPr>
  </w:style>
  <w:style w:type="paragraph" w:styleId="74">
    <w:name w:val="Body Text 2"/>
    <w:basedOn w:val="1"/>
    <w:link w:val="136"/>
    <w:autoRedefine/>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24"/>
      <w:szCs w:val="24"/>
    </w:rPr>
  </w:style>
  <w:style w:type="paragraph" w:styleId="75">
    <w:name w:val="List 4"/>
    <w:basedOn w:val="1"/>
    <w:autoRedefine/>
    <w:qFormat/>
    <w:uiPriority w:val="0"/>
    <w:pPr>
      <w:ind w:left="800" w:leftChars="600" w:hanging="200" w:hangingChars="200"/>
    </w:pPr>
    <w:rPr>
      <w:rFonts w:ascii="Times New Roman" w:hAnsi="Times New Roman" w:eastAsia="宋体" w:cs="Times New Roman"/>
      <w:szCs w:val="24"/>
    </w:rPr>
  </w:style>
  <w:style w:type="paragraph" w:styleId="76">
    <w:name w:val="List Continue 2"/>
    <w:basedOn w:val="1"/>
    <w:autoRedefine/>
    <w:qFormat/>
    <w:uiPriority w:val="0"/>
    <w:pPr>
      <w:spacing w:after="120"/>
      <w:ind w:left="400" w:leftChars="400"/>
    </w:pPr>
    <w:rPr>
      <w:rFonts w:ascii="Times New Roman" w:hAnsi="Times New Roman" w:eastAsia="宋体" w:cs="Times New Roman"/>
      <w:szCs w:val="24"/>
    </w:rPr>
  </w:style>
  <w:style w:type="paragraph" w:styleId="77">
    <w:name w:val="Message Header"/>
    <w:basedOn w:val="1"/>
    <w:link w:val="137"/>
    <w:autoRedefine/>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eastAsia="宋体" w:cs="Times New Roman"/>
      <w:sz w:val="24"/>
      <w:szCs w:val="24"/>
    </w:rPr>
  </w:style>
  <w:style w:type="paragraph" w:styleId="78">
    <w:name w:val="HTML Preformatted"/>
    <w:basedOn w:val="1"/>
    <w:link w:val="138"/>
    <w:autoRedefine/>
    <w:qFormat/>
    <w:uiPriority w:val="0"/>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hAnsi="Times New Roman" w:eastAsia="Arial Unicode MS" w:cs="Times New Roman"/>
      <w:color w:val="000000"/>
      <w:kern w:val="0"/>
      <w:sz w:val="20"/>
      <w:szCs w:val="20"/>
    </w:rPr>
  </w:style>
  <w:style w:type="paragraph" w:styleId="79">
    <w:name w:val="Normal (Web)"/>
    <w:basedOn w:val="1"/>
    <w:autoRedefine/>
    <w:qFormat/>
    <w:uiPriority w:val="0"/>
    <w:pPr>
      <w:widowControl/>
      <w:shd w:val="clear" w:color="auto" w:fill="FFFFFF"/>
      <w:tabs>
        <w:tab w:val="left" w:pos="426"/>
      </w:tabs>
      <w:adjustRightInd w:val="0"/>
      <w:snapToGrid w:val="0"/>
      <w:spacing w:line="360" w:lineRule="auto"/>
    </w:pPr>
    <w:rPr>
      <w:rFonts w:ascii="宋体" w:hAnsi="Times New Roman" w:eastAsia="宋体" w:cs="宋体"/>
      <w:kern w:val="0"/>
      <w:sz w:val="24"/>
      <w:szCs w:val="24"/>
    </w:rPr>
  </w:style>
  <w:style w:type="paragraph" w:styleId="80">
    <w:name w:val="List Continue 3"/>
    <w:basedOn w:val="1"/>
    <w:autoRedefine/>
    <w:qFormat/>
    <w:uiPriority w:val="0"/>
    <w:pPr>
      <w:spacing w:after="120"/>
      <w:ind w:left="600" w:leftChars="600"/>
    </w:pPr>
    <w:rPr>
      <w:rFonts w:ascii="Times New Roman" w:hAnsi="Times New Roman" w:eastAsia="宋体" w:cs="Times New Roman"/>
      <w:szCs w:val="24"/>
    </w:rPr>
  </w:style>
  <w:style w:type="paragraph" w:styleId="81">
    <w:name w:val="index 2"/>
    <w:basedOn w:val="1"/>
    <w:next w:val="1"/>
    <w:autoRedefine/>
    <w:qFormat/>
    <w:uiPriority w:val="0"/>
    <w:pPr>
      <w:ind w:left="420" w:hanging="210"/>
      <w:jc w:val="left"/>
    </w:pPr>
    <w:rPr>
      <w:rFonts w:ascii="Times New Roman" w:hAnsi="Times New Roman" w:eastAsia="宋体" w:cs="Times New Roman"/>
      <w:sz w:val="20"/>
      <w:szCs w:val="20"/>
    </w:rPr>
  </w:style>
  <w:style w:type="paragraph" w:styleId="82">
    <w:name w:val="Title"/>
    <w:basedOn w:val="1"/>
    <w:link w:val="139"/>
    <w:autoRedefine/>
    <w:qFormat/>
    <w:uiPriority w:val="0"/>
    <w:pPr>
      <w:widowControl/>
      <w:shd w:val="clear" w:color="auto" w:fill="FFFFFF"/>
      <w:tabs>
        <w:tab w:val="left" w:pos="426"/>
      </w:tabs>
      <w:adjustRightInd w:val="0"/>
      <w:snapToGrid w:val="0"/>
      <w:spacing w:before="240" w:after="60" w:line="360" w:lineRule="auto"/>
      <w:jc w:val="center"/>
      <w:outlineLvl w:val="0"/>
    </w:pPr>
    <w:rPr>
      <w:rFonts w:ascii="Arial" w:hAnsi="Arial" w:eastAsia="宋体" w:cs="Times New Roman"/>
      <w:b/>
      <w:bCs/>
      <w:sz w:val="36"/>
      <w:szCs w:val="32"/>
    </w:rPr>
  </w:style>
  <w:style w:type="paragraph" w:styleId="83">
    <w:name w:val="annotation subject"/>
    <w:basedOn w:val="27"/>
    <w:next w:val="27"/>
    <w:link w:val="140"/>
    <w:autoRedefine/>
    <w:qFormat/>
    <w:uiPriority w:val="0"/>
    <w:pPr>
      <w:autoSpaceDE/>
      <w:autoSpaceDN/>
      <w:adjustRightInd/>
      <w:textAlignment w:val="auto"/>
    </w:pPr>
    <w:rPr>
      <w:rFonts w:ascii="Times New Roman"/>
      <w:b/>
      <w:bCs/>
      <w:kern w:val="2"/>
      <w:sz w:val="21"/>
      <w:szCs w:val="24"/>
    </w:rPr>
  </w:style>
  <w:style w:type="paragraph" w:styleId="84">
    <w:name w:val="Body Text First Indent"/>
    <w:basedOn w:val="33"/>
    <w:link w:val="141"/>
    <w:autoRedefine/>
    <w:qFormat/>
    <w:uiPriority w:val="0"/>
    <w:pPr>
      <w:widowControl w:val="0"/>
      <w:shd w:val="clear" w:color="auto" w:fill="auto"/>
      <w:tabs>
        <w:tab w:val="clear" w:pos="426"/>
      </w:tabs>
      <w:adjustRightInd/>
      <w:snapToGrid/>
      <w:spacing w:after="120" w:line="240" w:lineRule="auto"/>
      <w:ind w:firstLine="100" w:firstLineChars="100"/>
    </w:pPr>
    <w:rPr>
      <w:kern w:val="2"/>
      <w:sz w:val="21"/>
    </w:rPr>
  </w:style>
  <w:style w:type="paragraph" w:styleId="85">
    <w:name w:val="Body Text First Indent 2"/>
    <w:basedOn w:val="34"/>
    <w:link w:val="142"/>
    <w:autoRedefine/>
    <w:qFormat/>
    <w:uiPriority w:val="0"/>
    <w:pPr>
      <w:widowControl w:val="0"/>
      <w:shd w:val="clear" w:color="auto" w:fill="auto"/>
      <w:tabs>
        <w:tab w:val="clear" w:pos="426"/>
      </w:tabs>
      <w:adjustRightInd/>
      <w:snapToGrid/>
      <w:spacing w:after="120" w:line="240" w:lineRule="auto"/>
      <w:ind w:left="200" w:leftChars="200"/>
    </w:pPr>
  </w:style>
  <w:style w:type="table" w:styleId="87">
    <w:name w:val="Table Grid"/>
    <w:basedOn w:val="8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autoRedefine/>
    <w:qFormat/>
    <w:uiPriority w:val="0"/>
    <w:rPr>
      <w:b/>
      <w:bCs/>
    </w:rPr>
  </w:style>
  <w:style w:type="character" w:styleId="90">
    <w:name w:val="endnote reference"/>
    <w:autoRedefine/>
    <w:qFormat/>
    <w:uiPriority w:val="0"/>
    <w:rPr>
      <w:vertAlign w:val="superscript"/>
    </w:rPr>
  </w:style>
  <w:style w:type="character" w:styleId="91">
    <w:name w:val="page number"/>
    <w:autoRedefine/>
    <w:qFormat/>
    <w:uiPriority w:val="0"/>
  </w:style>
  <w:style w:type="character" w:styleId="92">
    <w:name w:val="FollowedHyperlink"/>
    <w:autoRedefine/>
    <w:qFormat/>
    <w:uiPriority w:val="0"/>
    <w:rPr>
      <w:color w:val="800080"/>
      <w:u w:val="single"/>
    </w:rPr>
  </w:style>
  <w:style w:type="character" w:styleId="93">
    <w:name w:val="Emphasis"/>
    <w:qFormat/>
    <w:uiPriority w:val="20"/>
    <w:rPr>
      <w:i/>
      <w:iCs/>
    </w:rPr>
  </w:style>
  <w:style w:type="character" w:styleId="94">
    <w:name w:val="line number"/>
    <w:autoRedefine/>
    <w:qFormat/>
    <w:uiPriority w:val="0"/>
  </w:style>
  <w:style w:type="character" w:styleId="95">
    <w:name w:val="HTML Definition"/>
    <w:autoRedefine/>
    <w:qFormat/>
    <w:uiPriority w:val="0"/>
    <w:rPr>
      <w:i/>
      <w:iCs/>
    </w:rPr>
  </w:style>
  <w:style w:type="character" w:styleId="96">
    <w:name w:val="HTML Typewriter"/>
    <w:autoRedefine/>
    <w:qFormat/>
    <w:uiPriority w:val="0"/>
    <w:rPr>
      <w:rFonts w:ascii="Courier New" w:hAnsi="Courier New" w:cs="Courier New"/>
      <w:sz w:val="20"/>
      <w:szCs w:val="20"/>
      <w:lang w:bidi="ar-SA"/>
    </w:rPr>
  </w:style>
  <w:style w:type="character" w:styleId="97">
    <w:name w:val="HTML Acronym"/>
    <w:autoRedefine/>
    <w:qFormat/>
    <w:uiPriority w:val="0"/>
  </w:style>
  <w:style w:type="character" w:styleId="98">
    <w:name w:val="HTML Variable"/>
    <w:autoRedefine/>
    <w:qFormat/>
    <w:uiPriority w:val="0"/>
    <w:rPr>
      <w:i/>
      <w:iCs/>
    </w:rPr>
  </w:style>
  <w:style w:type="character" w:styleId="99">
    <w:name w:val="Hyperlink"/>
    <w:autoRedefine/>
    <w:qFormat/>
    <w:uiPriority w:val="99"/>
    <w:rPr>
      <w:color w:val="0000FF"/>
      <w:u w:val="single"/>
    </w:rPr>
  </w:style>
  <w:style w:type="character" w:styleId="100">
    <w:name w:val="HTML Code"/>
    <w:autoRedefine/>
    <w:qFormat/>
    <w:uiPriority w:val="0"/>
    <w:rPr>
      <w:rFonts w:ascii="Courier New" w:hAnsi="Courier New" w:cs="Courier New"/>
      <w:sz w:val="20"/>
      <w:szCs w:val="20"/>
      <w:lang w:bidi="ar-SA"/>
    </w:rPr>
  </w:style>
  <w:style w:type="character" w:styleId="101">
    <w:name w:val="annotation reference"/>
    <w:autoRedefine/>
    <w:qFormat/>
    <w:uiPriority w:val="0"/>
    <w:rPr>
      <w:sz w:val="21"/>
      <w:szCs w:val="21"/>
    </w:rPr>
  </w:style>
  <w:style w:type="character" w:styleId="102">
    <w:name w:val="HTML Cite"/>
    <w:autoRedefine/>
    <w:qFormat/>
    <w:uiPriority w:val="0"/>
    <w:rPr>
      <w:i/>
      <w:iCs/>
    </w:rPr>
  </w:style>
  <w:style w:type="character" w:styleId="103">
    <w:name w:val="footnote reference"/>
    <w:autoRedefine/>
    <w:qFormat/>
    <w:uiPriority w:val="0"/>
    <w:rPr>
      <w:vertAlign w:val="superscript"/>
    </w:rPr>
  </w:style>
  <w:style w:type="character" w:styleId="104">
    <w:name w:val="HTML Keyboard"/>
    <w:autoRedefine/>
    <w:qFormat/>
    <w:uiPriority w:val="0"/>
    <w:rPr>
      <w:rFonts w:ascii="Courier New" w:hAnsi="Courier New" w:cs="Courier New"/>
      <w:sz w:val="20"/>
      <w:szCs w:val="20"/>
      <w:lang w:bidi="ar-SA"/>
    </w:rPr>
  </w:style>
  <w:style w:type="character" w:styleId="105">
    <w:name w:val="HTML Sample"/>
    <w:autoRedefine/>
    <w:qFormat/>
    <w:uiPriority w:val="0"/>
    <w:rPr>
      <w:rFonts w:ascii="Courier New" w:hAnsi="Courier New" w:cs="Courier New"/>
      <w:lang w:bidi="ar-SA"/>
    </w:rPr>
  </w:style>
  <w:style w:type="character" w:customStyle="1" w:styleId="106">
    <w:name w:val="页眉 字符"/>
    <w:basedOn w:val="88"/>
    <w:link w:val="56"/>
    <w:qFormat/>
    <w:uiPriority w:val="0"/>
    <w:rPr>
      <w:sz w:val="18"/>
      <w:szCs w:val="18"/>
    </w:rPr>
  </w:style>
  <w:style w:type="character" w:customStyle="1" w:styleId="107">
    <w:name w:val="页脚 字符"/>
    <w:basedOn w:val="88"/>
    <w:link w:val="54"/>
    <w:qFormat/>
    <w:uiPriority w:val="99"/>
    <w:rPr>
      <w:sz w:val="18"/>
      <w:szCs w:val="18"/>
    </w:rPr>
  </w:style>
  <w:style w:type="character" w:customStyle="1" w:styleId="108">
    <w:name w:val="标题 1 字符"/>
    <w:basedOn w:val="88"/>
    <w:link w:val="3"/>
    <w:qFormat/>
    <w:uiPriority w:val="0"/>
    <w:rPr>
      <w:rFonts w:ascii="宋体" w:hAnsi="Times New Roman" w:eastAsia="黑体" w:cs="Times New Roman"/>
      <w:bCs/>
      <w:kern w:val="44"/>
      <w:sz w:val="28"/>
      <w:szCs w:val="28"/>
    </w:rPr>
  </w:style>
  <w:style w:type="character" w:customStyle="1" w:styleId="109">
    <w:name w:val="标题 2 字符"/>
    <w:basedOn w:val="88"/>
    <w:link w:val="5"/>
    <w:qFormat/>
    <w:uiPriority w:val="0"/>
    <w:rPr>
      <w:rFonts w:ascii="宋体" w:hAnsi="Times New Roman" w:eastAsia="宋体" w:cs="Times New Roman"/>
      <w:kern w:val="0"/>
      <w:szCs w:val="20"/>
    </w:rPr>
  </w:style>
  <w:style w:type="character" w:customStyle="1" w:styleId="110">
    <w:name w:val="标题 3 字符"/>
    <w:basedOn w:val="88"/>
    <w:link w:val="4"/>
    <w:qFormat/>
    <w:uiPriority w:val="0"/>
    <w:rPr>
      <w:rFonts w:ascii="宋体" w:hAnsi="Times New Roman" w:eastAsia="宋体" w:cs="Times New Roman"/>
      <w:bCs/>
      <w:szCs w:val="21"/>
    </w:rPr>
  </w:style>
  <w:style w:type="character" w:customStyle="1" w:styleId="111">
    <w:name w:val="标题 4 字符"/>
    <w:basedOn w:val="88"/>
    <w:link w:val="6"/>
    <w:qFormat/>
    <w:uiPriority w:val="0"/>
    <w:rPr>
      <w:rFonts w:ascii="Arial" w:hAnsi="Arial" w:eastAsia="黑体" w:cs="Times New Roman"/>
      <w:b/>
      <w:bCs/>
      <w:sz w:val="28"/>
      <w:szCs w:val="28"/>
      <w:shd w:val="clear" w:color="auto" w:fill="FFFFFF"/>
    </w:rPr>
  </w:style>
  <w:style w:type="character" w:customStyle="1" w:styleId="112">
    <w:name w:val="标题 5 字符"/>
    <w:basedOn w:val="88"/>
    <w:link w:val="7"/>
    <w:qFormat/>
    <w:uiPriority w:val="0"/>
    <w:rPr>
      <w:rFonts w:ascii="Times New Roman" w:hAnsi="Times New Roman" w:eastAsia="宋体" w:cs="Times New Roman"/>
      <w:b/>
      <w:sz w:val="24"/>
      <w:szCs w:val="20"/>
      <w:shd w:val="clear" w:color="auto" w:fill="FFFFFF"/>
    </w:rPr>
  </w:style>
  <w:style w:type="character" w:customStyle="1" w:styleId="113">
    <w:name w:val="标题 6 字符"/>
    <w:basedOn w:val="88"/>
    <w:link w:val="9"/>
    <w:qFormat/>
    <w:uiPriority w:val="0"/>
    <w:rPr>
      <w:rFonts w:ascii="Arial" w:hAnsi="Arial" w:eastAsia="黑体" w:cs="Times New Roman"/>
      <w:b/>
      <w:sz w:val="24"/>
      <w:szCs w:val="20"/>
      <w:shd w:val="clear" w:color="auto" w:fill="FFFFFF"/>
    </w:rPr>
  </w:style>
  <w:style w:type="character" w:customStyle="1" w:styleId="114">
    <w:name w:val="标题 7 字符"/>
    <w:basedOn w:val="88"/>
    <w:link w:val="10"/>
    <w:qFormat/>
    <w:uiPriority w:val="0"/>
    <w:rPr>
      <w:rFonts w:ascii="Times New Roman" w:hAnsi="Times New Roman" w:eastAsia="宋体" w:cs="Times New Roman"/>
      <w:b/>
      <w:sz w:val="24"/>
      <w:szCs w:val="20"/>
      <w:shd w:val="clear" w:color="auto" w:fill="FFFFFF"/>
    </w:rPr>
  </w:style>
  <w:style w:type="character" w:customStyle="1" w:styleId="115">
    <w:name w:val="标题 8 字符"/>
    <w:basedOn w:val="88"/>
    <w:link w:val="11"/>
    <w:qFormat/>
    <w:uiPriority w:val="0"/>
    <w:rPr>
      <w:rFonts w:ascii="Arial" w:hAnsi="Arial" w:eastAsia="黑体" w:cs="Times New Roman"/>
      <w:sz w:val="24"/>
      <w:szCs w:val="20"/>
      <w:shd w:val="clear" w:color="auto" w:fill="FFFFFF"/>
    </w:rPr>
  </w:style>
  <w:style w:type="character" w:customStyle="1" w:styleId="116">
    <w:name w:val="标题 9 字符"/>
    <w:basedOn w:val="88"/>
    <w:link w:val="12"/>
    <w:qFormat/>
    <w:uiPriority w:val="0"/>
    <w:rPr>
      <w:rFonts w:ascii="Arial" w:hAnsi="Arial" w:eastAsia="黑体" w:cs="Times New Roman"/>
      <w:szCs w:val="20"/>
      <w:shd w:val="clear" w:color="auto" w:fill="FFFFFF"/>
    </w:rPr>
  </w:style>
  <w:style w:type="character" w:customStyle="1" w:styleId="117">
    <w:name w:val="注释标题 字符"/>
    <w:basedOn w:val="88"/>
    <w:link w:val="16"/>
    <w:qFormat/>
    <w:uiPriority w:val="0"/>
    <w:rPr>
      <w:rFonts w:ascii="Times New Roman" w:hAnsi="Times New Roman" w:eastAsia="宋体" w:cs="Times New Roman"/>
      <w:szCs w:val="24"/>
    </w:rPr>
  </w:style>
  <w:style w:type="character" w:customStyle="1" w:styleId="118">
    <w:name w:val="电子邮件签名 字符"/>
    <w:basedOn w:val="88"/>
    <w:link w:val="19"/>
    <w:qFormat/>
    <w:uiPriority w:val="0"/>
    <w:rPr>
      <w:rFonts w:ascii="Times New Roman" w:hAnsi="Times New Roman" w:eastAsia="宋体" w:cs="Times New Roman"/>
      <w:szCs w:val="24"/>
    </w:rPr>
  </w:style>
  <w:style w:type="character" w:customStyle="1" w:styleId="119">
    <w:name w:val="文档结构图 字符"/>
    <w:basedOn w:val="88"/>
    <w:link w:val="25"/>
    <w:qFormat/>
    <w:uiPriority w:val="0"/>
    <w:rPr>
      <w:rFonts w:ascii="Times New Roman" w:hAnsi="Times New Roman" w:eastAsia="宋体" w:cs="Times New Roman"/>
      <w:szCs w:val="24"/>
      <w:shd w:val="clear" w:color="auto" w:fill="000080"/>
    </w:rPr>
  </w:style>
  <w:style w:type="character" w:customStyle="1" w:styleId="120">
    <w:name w:val="批注文字 字符"/>
    <w:basedOn w:val="88"/>
    <w:qFormat/>
    <w:uiPriority w:val="0"/>
  </w:style>
  <w:style w:type="character" w:customStyle="1" w:styleId="121">
    <w:name w:val="称呼 字符"/>
    <w:basedOn w:val="88"/>
    <w:link w:val="29"/>
    <w:qFormat/>
    <w:uiPriority w:val="0"/>
    <w:rPr>
      <w:rFonts w:ascii="Times New Roman" w:hAnsi="Times New Roman" w:eastAsia="宋体" w:cs="Times New Roman"/>
      <w:szCs w:val="24"/>
    </w:rPr>
  </w:style>
  <w:style w:type="character" w:customStyle="1" w:styleId="122">
    <w:name w:val="正文文本 3 字符"/>
    <w:basedOn w:val="88"/>
    <w:link w:val="30"/>
    <w:qFormat/>
    <w:uiPriority w:val="0"/>
    <w:rPr>
      <w:rFonts w:ascii="Times New Roman" w:hAnsi="Times New Roman" w:eastAsia="宋体" w:cs="Times New Roman"/>
      <w:sz w:val="16"/>
      <w:szCs w:val="16"/>
      <w:shd w:val="clear" w:color="auto" w:fill="FFFFFF"/>
    </w:rPr>
  </w:style>
  <w:style w:type="character" w:customStyle="1" w:styleId="123">
    <w:name w:val="结束语 字符"/>
    <w:basedOn w:val="88"/>
    <w:link w:val="31"/>
    <w:qFormat/>
    <w:uiPriority w:val="0"/>
    <w:rPr>
      <w:rFonts w:ascii="Times New Roman" w:hAnsi="Times New Roman" w:eastAsia="宋体" w:cs="Times New Roman"/>
      <w:szCs w:val="24"/>
    </w:rPr>
  </w:style>
  <w:style w:type="character" w:customStyle="1" w:styleId="124">
    <w:name w:val="正文文本 字符"/>
    <w:basedOn w:val="88"/>
    <w:link w:val="33"/>
    <w:qFormat/>
    <w:uiPriority w:val="0"/>
    <w:rPr>
      <w:rFonts w:ascii="宋体" w:hAnsi="Times New Roman" w:eastAsia="宋体" w:cs="Times New Roman"/>
      <w:b/>
      <w:bCs/>
      <w:kern w:val="0"/>
      <w:sz w:val="24"/>
      <w:szCs w:val="24"/>
      <w:shd w:val="clear" w:color="auto" w:fill="FFFFFF"/>
    </w:rPr>
  </w:style>
  <w:style w:type="character" w:customStyle="1" w:styleId="125">
    <w:name w:val="正文文本缩进 字符"/>
    <w:basedOn w:val="88"/>
    <w:link w:val="34"/>
    <w:qFormat/>
    <w:uiPriority w:val="0"/>
    <w:rPr>
      <w:rFonts w:ascii="Times New Roman" w:hAnsi="Times New Roman" w:eastAsia="宋体" w:cs="Times New Roman"/>
      <w:szCs w:val="24"/>
      <w:shd w:val="clear" w:color="auto" w:fill="FFFFFF"/>
    </w:rPr>
  </w:style>
  <w:style w:type="character" w:customStyle="1" w:styleId="126">
    <w:name w:val="HTML 地址 字符"/>
    <w:basedOn w:val="88"/>
    <w:link w:val="40"/>
    <w:qFormat/>
    <w:uiPriority w:val="0"/>
    <w:rPr>
      <w:rFonts w:ascii="Times New Roman" w:hAnsi="Times New Roman" w:eastAsia="宋体" w:cs="Times New Roman"/>
      <w:i/>
      <w:iCs/>
      <w:szCs w:val="24"/>
    </w:rPr>
  </w:style>
  <w:style w:type="character" w:customStyle="1" w:styleId="127">
    <w:name w:val="纯文本 字符"/>
    <w:basedOn w:val="88"/>
    <w:link w:val="44"/>
    <w:qFormat/>
    <w:uiPriority w:val="0"/>
    <w:rPr>
      <w:rFonts w:ascii="宋体" w:hAnsi="Times New Roman" w:eastAsia="宋体" w:cs="Times New Roman"/>
      <w:szCs w:val="20"/>
      <w:shd w:val="clear" w:color="auto" w:fill="FFFFFF"/>
    </w:rPr>
  </w:style>
  <w:style w:type="character" w:customStyle="1" w:styleId="128">
    <w:name w:val="日期 字符"/>
    <w:basedOn w:val="88"/>
    <w:link w:val="49"/>
    <w:qFormat/>
    <w:uiPriority w:val="0"/>
    <w:rPr>
      <w:rFonts w:ascii="宋体" w:hAnsi="Times New Roman" w:eastAsia="宋体" w:cs="Times New Roman"/>
      <w:sz w:val="32"/>
      <w:szCs w:val="20"/>
      <w:shd w:val="clear" w:color="auto" w:fill="FFFFFF"/>
    </w:rPr>
  </w:style>
  <w:style w:type="character" w:customStyle="1" w:styleId="129">
    <w:name w:val="正文文本缩进 2 字符"/>
    <w:basedOn w:val="88"/>
    <w:link w:val="50"/>
    <w:qFormat/>
    <w:uiPriority w:val="0"/>
    <w:rPr>
      <w:rFonts w:ascii="宋体" w:hAnsi="Times New Roman" w:eastAsia="宋体" w:cs="Times New Roman"/>
      <w:szCs w:val="24"/>
      <w:shd w:val="clear" w:color="auto" w:fill="FFFFFF"/>
    </w:rPr>
  </w:style>
  <w:style w:type="character" w:customStyle="1" w:styleId="130">
    <w:name w:val="尾注文本 字符"/>
    <w:basedOn w:val="88"/>
    <w:link w:val="51"/>
    <w:qFormat/>
    <w:uiPriority w:val="0"/>
    <w:rPr>
      <w:rFonts w:ascii="Times New Roman" w:hAnsi="Times New Roman" w:eastAsia="宋体" w:cs="Times New Roman"/>
      <w:szCs w:val="24"/>
    </w:rPr>
  </w:style>
  <w:style w:type="character" w:customStyle="1" w:styleId="131">
    <w:name w:val="批注框文本 字符"/>
    <w:basedOn w:val="88"/>
    <w:semiHidden/>
    <w:qFormat/>
    <w:uiPriority w:val="99"/>
    <w:rPr>
      <w:sz w:val="18"/>
      <w:szCs w:val="18"/>
    </w:rPr>
  </w:style>
  <w:style w:type="character" w:customStyle="1" w:styleId="132">
    <w:name w:val="签名 字符"/>
    <w:basedOn w:val="88"/>
    <w:link w:val="57"/>
    <w:qFormat/>
    <w:uiPriority w:val="0"/>
    <w:rPr>
      <w:rFonts w:ascii="Times New Roman" w:hAnsi="Times New Roman" w:eastAsia="宋体" w:cs="Times New Roman"/>
      <w:szCs w:val="24"/>
    </w:rPr>
  </w:style>
  <w:style w:type="character" w:customStyle="1" w:styleId="133">
    <w:name w:val="副标题 字符"/>
    <w:basedOn w:val="88"/>
    <w:link w:val="63"/>
    <w:qFormat/>
    <w:uiPriority w:val="0"/>
    <w:rPr>
      <w:rFonts w:ascii="Cambria" w:hAnsi="Cambria" w:eastAsia="宋体" w:cs="Times New Roman"/>
      <w:b/>
      <w:bCs/>
      <w:kern w:val="28"/>
      <w:sz w:val="28"/>
      <w:szCs w:val="32"/>
      <w:shd w:val="clear" w:color="auto" w:fill="FFFFFF"/>
    </w:rPr>
  </w:style>
  <w:style w:type="character" w:customStyle="1" w:styleId="134">
    <w:name w:val="脚注文本 字符"/>
    <w:basedOn w:val="88"/>
    <w:link w:val="66"/>
    <w:qFormat/>
    <w:uiPriority w:val="0"/>
    <w:rPr>
      <w:rFonts w:ascii="Times New Roman" w:hAnsi="Times New Roman" w:eastAsia="宋体" w:cs="Times New Roman"/>
      <w:sz w:val="18"/>
      <w:szCs w:val="24"/>
    </w:rPr>
  </w:style>
  <w:style w:type="character" w:customStyle="1" w:styleId="135">
    <w:name w:val="正文文本缩进 3 字符"/>
    <w:basedOn w:val="88"/>
    <w:link w:val="69"/>
    <w:qFormat/>
    <w:uiPriority w:val="0"/>
    <w:rPr>
      <w:rFonts w:ascii="宋体" w:hAnsi="Times New Roman" w:eastAsia="宋体" w:cs="Times New Roman"/>
      <w:b/>
      <w:bCs/>
      <w:sz w:val="24"/>
      <w:szCs w:val="24"/>
      <w:shd w:val="clear" w:color="auto" w:fill="FFFFFF"/>
    </w:rPr>
  </w:style>
  <w:style w:type="character" w:customStyle="1" w:styleId="136">
    <w:name w:val="正文文本 2 字符"/>
    <w:basedOn w:val="88"/>
    <w:link w:val="74"/>
    <w:qFormat/>
    <w:uiPriority w:val="0"/>
    <w:rPr>
      <w:rFonts w:ascii="Times New Roman" w:hAnsi="Times New Roman" w:eastAsia="宋体" w:cs="Times New Roman"/>
      <w:sz w:val="24"/>
      <w:szCs w:val="24"/>
      <w:shd w:val="clear" w:color="auto" w:fill="FFFFFF"/>
    </w:rPr>
  </w:style>
  <w:style w:type="character" w:customStyle="1" w:styleId="137">
    <w:name w:val="信息标题 字符"/>
    <w:basedOn w:val="88"/>
    <w:link w:val="77"/>
    <w:qFormat/>
    <w:uiPriority w:val="0"/>
    <w:rPr>
      <w:rFonts w:ascii="Arial" w:hAnsi="Arial" w:eastAsia="宋体" w:cs="Times New Roman"/>
      <w:sz w:val="24"/>
      <w:szCs w:val="24"/>
      <w:shd w:val="pct20" w:color="auto" w:fill="auto"/>
    </w:rPr>
  </w:style>
  <w:style w:type="character" w:customStyle="1" w:styleId="138">
    <w:name w:val="HTML 预设格式 字符"/>
    <w:basedOn w:val="88"/>
    <w:link w:val="78"/>
    <w:qFormat/>
    <w:uiPriority w:val="0"/>
    <w:rPr>
      <w:rFonts w:ascii="Arial Unicode MS" w:hAnsi="Times New Roman" w:eastAsia="Arial Unicode MS" w:cs="Times New Roman"/>
      <w:color w:val="000000"/>
      <w:kern w:val="0"/>
      <w:sz w:val="20"/>
      <w:szCs w:val="20"/>
      <w:shd w:val="clear" w:color="auto" w:fill="FFFFFF"/>
    </w:rPr>
  </w:style>
  <w:style w:type="character" w:customStyle="1" w:styleId="139">
    <w:name w:val="标题 字符"/>
    <w:basedOn w:val="88"/>
    <w:link w:val="82"/>
    <w:qFormat/>
    <w:uiPriority w:val="0"/>
    <w:rPr>
      <w:rFonts w:ascii="Arial" w:hAnsi="Arial" w:eastAsia="宋体" w:cs="Times New Roman"/>
      <w:b/>
      <w:bCs/>
      <w:sz w:val="36"/>
      <w:szCs w:val="32"/>
      <w:shd w:val="clear" w:color="auto" w:fill="FFFFFF"/>
    </w:rPr>
  </w:style>
  <w:style w:type="character" w:customStyle="1" w:styleId="140">
    <w:name w:val="批注主题 字符"/>
    <w:basedOn w:val="120"/>
    <w:link w:val="83"/>
    <w:qFormat/>
    <w:uiPriority w:val="0"/>
    <w:rPr>
      <w:rFonts w:ascii="Times New Roman" w:hAnsi="Times New Roman" w:eastAsia="宋体" w:cs="Times New Roman"/>
      <w:b/>
      <w:bCs/>
      <w:szCs w:val="24"/>
      <w:shd w:val="clear" w:color="auto" w:fill="FFFFFF"/>
    </w:rPr>
  </w:style>
  <w:style w:type="character" w:customStyle="1" w:styleId="141">
    <w:name w:val="正文文本首行缩进 字符"/>
    <w:basedOn w:val="124"/>
    <w:link w:val="84"/>
    <w:qFormat/>
    <w:uiPriority w:val="0"/>
    <w:rPr>
      <w:rFonts w:ascii="宋体" w:hAnsi="Times New Roman" w:eastAsia="宋体" w:cs="Times New Roman"/>
      <w:kern w:val="0"/>
      <w:sz w:val="24"/>
      <w:szCs w:val="24"/>
      <w:shd w:val="clear" w:color="auto" w:fill="FFFFFF"/>
    </w:rPr>
  </w:style>
  <w:style w:type="character" w:customStyle="1" w:styleId="142">
    <w:name w:val="正文文本首行缩进 2 字符"/>
    <w:basedOn w:val="125"/>
    <w:link w:val="85"/>
    <w:qFormat/>
    <w:uiPriority w:val="0"/>
    <w:rPr>
      <w:rFonts w:ascii="Times New Roman" w:hAnsi="Times New Roman" w:eastAsia="宋体" w:cs="Times New Roman"/>
      <w:szCs w:val="24"/>
      <w:shd w:val="clear" w:color="auto" w:fill="FFFFFF"/>
    </w:rPr>
  </w:style>
  <w:style w:type="character" w:customStyle="1" w:styleId="143">
    <w:name w:val="正文缩进 字符"/>
    <w:link w:val="8"/>
    <w:autoRedefine/>
    <w:qFormat/>
    <w:uiPriority w:val="0"/>
    <w:rPr>
      <w:rFonts w:ascii="Times New Roman" w:hAnsi="Times New Roman" w:eastAsia="宋体" w:cs="Times New Roman"/>
      <w:szCs w:val="20"/>
      <w:shd w:val="clear" w:color="auto" w:fill="FFFFFF"/>
    </w:rPr>
  </w:style>
  <w:style w:type="character" w:customStyle="1" w:styleId="144">
    <w:name w:val="批注文字 字符1"/>
    <w:link w:val="27"/>
    <w:autoRedefine/>
    <w:qFormat/>
    <w:uiPriority w:val="0"/>
    <w:rPr>
      <w:rFonts w:ascii="宋体"/>
      <w:color w:val="FF0000"/>
      <w:sz w:val="34"/>
      <w:shd w:val="clear" w:color="auto" w:fill="FFFFFF"/>
    </w:rPr>
  </w:style>
  <w:style w:type="character" w:customStyle="1" w:styleId="145">
    <w:name w:val="批注框文本 字符1"/>
    <w:link w:val="53"/>
    <w:autoRedefine/>
    <w:qFormat/>
    <w:uiPriority w:val="0"/>
    <w:rPr>
      <w:rFonts w:ascii="Times New Roman" w:hAnsi="Times New Roman" w:eastAsia="宋体" w:cs="Times New Roman"/>
      <w:sz w:val="18"/>
      <w:szCs w:val="18"/>
      <w:shd w:val="clear" w:color="auto" w:fill="FFFFFF"/>
    </w:rPr>
  </w:style>
  <w:style w:type="character" w:customStyle="1" w:styleId="146">
    <w:name w:val="页脚 字符1"/>
    <w:autoRedefine/>
    <w:qFormat/>
    <w:uiPriority w:val="0"/>
    <w:rPr>
      <w:kern w:val="2"/>
      <w:sz w:val="18"/>
      <w:szCs w:val="18"/>
      <w:shd w:val="clear" w:color="auto" w:fill="FFFFFF"/>
    </w:rPr>
  </w:style>
  <w:style w:type="character" w:customStyle="1" w:styleId="147">
    <w:name w:val="页眉 字符1"/>
    <w:autoRedefine/>
    <w:qFormat/>
    <w:uiPriority w:val="0"/>
    <w:rPr>
      <w:kern w:val="2"/>
      <w:sz w:val="18"/>
      <w:szCs w:val="18"/>
      <w:shd w:val="clear" w:color="auto" w:fill="FFFFFF"/>
    </w:rPr>
  </w:style>
  <w:style w:type="paragraph" w:customStyle="1" w:styleId="148">
    <w:name w:val="Char"/>
    <w:basedOn w:val="1"/>
    <w:autoRedefine/>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character" w:customStyle="1" w:styleId="149">
    <w:name w:val="标题 3 Char"/>
    <w:autoRedefine/>
    <w:qFormat/>
    <w:uiPriority w:val="0"/>
    <w:rPr>
      <w:rFonts w:ascii="黑体" w:eastAsia="黑体"/>
      <w:bCs/>
      <w:sz w:val="30"/>
    </w:rPr>
  </w:style>
  <w:style w:type="paragraph" w:customStyle="1" w:styleId="150">
    <w:name w:val="样式41"/>
    <w:basedOn w:val="1"/>
    <w:autoRedefine/>
    <w:qFormat/>
    <w:uiPriority w:val="0"/>
    <w:pPr>
      <w:widowControl/>
      <w:shd w:val="clear" w:color="auto" w:fill="FFFFFF"/>
      <w:tabs>
        <w:tab w:val="left" w:pos="426"/>
        <w:tab w:val="left" w:pos="945"/>
        <w:tab w:val="left" w:pos="2040"/>
      </w:tabs>
      <w:adjustRightInd w:val="0"/>
      <w:snapToGrid w:val="0"/>
      <w:spacing w:line="360" w:lineRule="auto"/>
      <w:ind w:left="1000" w:leftChars="800" w:hanging="200" w:hangingChars="200"/>
    </w:pPr>
    <w:rPr>
      <w:rFonts w:ascii="宋体" w:hAnsi="Times New Roman" w:eastAsia="宋体" w:cs="宋体"/>
      <w:b/>
      <w:color w:val="000000"/>
      <w:kern w:val="0"/>
      <w:sz w:val="24"/>
      <w:szCs w:val="20"/>
    </w:rPr>
  </w:style>
  <w:style w:type="paragraph" w:customStyle="1" w:styleId="151">
    <w:name w:val="图"/>
    <w:basedOn w:val="1"/>
    <w:autoRedefine/>
    <w:qFormat/>
    <w:uiPriority w:val="0"/>
    <w:pPr>
      <w:keepNext/>
      <w:widowControl/>
      <w:shd w:val="clear" w:color="auto" w:fill="FFFFFF"/>
      <w:tabs>
        <w:tab w:val="left" w:pos="426"/>
      </w:tabs>
      <w:adjustRightInd w:val="0"/>
      <w:snapToGrid w:val="0"/>
      <w:spacing w:before="60" w:after="60" w:line="300" w:lineRule="auto"/>
      <w:jc w:val="center"/>
    </w:pPr>
    <w:rPr>
      <w:rFonts w:ascii="宋体" w:hAnsi="Times New Roman" w:eastAsia="宋体" w:cs="宋体"/>
      <w:spacing w:val="20"/>
      <w:kern w:val="0"/>
      <w:sz w:val="24"/>
      <w:szCs w:val="20"/>
    </w:rPr>
  </w:style>
  <w:style w:type="paragraph" w:customStyle="1" w:styleId="152">
    <w:name w:val="文档正文"/>
    <w:basedOn w:val="1"/>
    <w:autoRedefine/>
    <w:qFormat/>
    <w:uiPriority w:val="0"/>
    <w:pPr>
      <w:widowControl/>
      <w:shd w:val="clear" w:color="auto" w:fill="FFFFFF"/>
      <w:tabs>
        <w:tab w:val="left" w:pos="426"/>
      </w:tabs>
      <w:adjustRightInd w:val="0"/>
      <w:snapToGrid w:val="0"/>
      <w:spacing w:line="480" w:lineRule="atLeast"/>
      <w:ind w:firstLine="200" w:firstLineChars="200"/>
      <w:textAlignment w:val="baseline"/>
    </w:pPr>
    <w:rPr>
      <w:rFonts w:ascii="长城仿宋" w:hAnsi="长城仿宋" w:eastAsia="宋体" w:cs="宋体"/>
      <w:kern w:val="0"/>
      <w:szCs w:val="20"/>
    </w:rPr>
  </w:style>
  <w:style w:type="paragraph" w:customStyle="1" w:styleId="153">
    <w:name w:val="Char Char Char Char"/>
    <w:basedOn w:val="1"/>
    <w:autoRedefine/>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154">
    <w:name w:val="Char1"/>
    <w:basedOn w:val="1"/>
    <w:autoRedefine/>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155">
    <w:name w:val="Char Char Char Char1"/>
    <w:basedOn w:val="1"/>
    <w:autoRedefine/>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156">
    <w:name w:val="Table Contents"/>
    <w:basedOn w:val="1"/>
    <w:autoRedefine/>
    <w:qFormat/>
    <w:uiPriority w:val="0"/>
    <w:pPr>
      <w:widowControl/>
      <w:shd w:val="clear" w:color="auto" w:fill="FFFFFF"/>
      <w:tabs>
        <w:tab w:val="left" w:pos="426"/>
      </w:tabs>
      <w:suppressAutoHyphens/>
      <w:autoSpaceDE w:val="0"/>
      <w:adjustRightInd w:val="0"/>
      <w:snapToGrid w:val="0"/>
      <w:spacing w:after="120" w:line="360" w:lineRule="auto"/>
      <w:jc w:val="left"/>
    </w:pPr>
    <w:rPr>
      <w:rFonts w:ascii="Helvetica" w:hAnsi="Helvetica" w:eastAsia="宋体" w:cs="宋体"/>
      <w:sz w:val="20"/>
      <w:szCs w:val="20"/>
    </w:rPr>
  </w:style>
  <w:style w:type="paragraph" w:customStyle="1" w:styleId="157">
    <w:name w:val="自定义正文"/>
    <w:basedOn w:val="1"/>
    <w:autoRedefine/>
    <w:qFormat/>
    <w:uiPriority w:val="0"/>
    <w:pPr>
      <w:widowControl/>
      <w:shd w:val="clear" w:color="auto" w:fill="FFFFFF"/>
      <w:tabs>
        <w:tab w:val="left" w:pos="426"/>
      </w:tabs>
      <w:adjustRightInd w:val="0"/>
      <w:snapToGrid w:val="0"/>
      <w:spacing w:afterLines="50" w:line="360" w:lineRule="auto"/>
      <w:ind w:left="600" w:leftChars="600"/>
    </w:pPr>
    <w:rPr>
      <w:rFonts w:ascii="宋体" w:hAnsi="Times New Roman" w:eastAsia="宋体" w:cs="宋体"/>
      <w:kern w:val="0"/>
      <w:szCs w:val="24"/>
    </w:rPr>
  </w:style>
  <w:style w:type="paragraph" w:customStyle="1" w:styleId="158">
    <w:name w:val="Char Char Char Char Char"/>
    <w:basedOn w:val="1"/>
    <w:autoRedefine/>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59">
    <w:name w:val="小标题 1"/>
    <w:basedOn w:val="1"/>
    <w:autoRedefine/>
    <w:qFormat/>
    <w:uiPriority w:val="0"/>
    <w:pPr>
      <w:widowControl/>
      <w:shd w:val="clear" w:color="auto" w:fill="FFFFFF"/>
      <w:tabs>
        <w:tab w:val="left" w:pos="426"/>
      </w:tabs>
      <w:autoSpaceDE w:val="0"/>
      <w:autoSpaceDN w:val="0"/>
      <w:adjustRightInd w:val="0"/>
      <w:snapToGrid w:val="0"/>
      <w:spacing w:line="360" w:lineRule="atLeast"/>
    </w:pPr>
    <w:rPr>
      <w:rFonts w:ascii="文鼎粗黑" w:hAnsi="Times New Roman" w:eastAsia="文鼎粗黑" w:cs="宋体"/>
      <w:kern w:val="0"/>
      <w:sz w:val="22"/>
      <w:szCs w:val="20"/>
    </w:rPr>
  </w:style>
  <w:style w:type="paragraph" w:customStyle="1" w:styleId="160">
    <w:name w:val="Char Char"/>
    <w:basedOn w:val="1"/>
    <w:autoRedefine/>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61">
    <w:name w:val="È±Ê¡ÎÄ±¾"/>
    <w:basedOn w:val="1"/>
    <w:autoRedefine/>
    <w:qFormat/>
    <w:uiPriority w:val="0"/>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Times New Roman" w:eastAsia="宋体" w:cs="宋体"/>
      <w:kern w:val="0"/>
      <w:sz w:val="24"/>
      <w:szCs w:val="20"/>
    </w:rPr>
  </w:style>
  <w:style w:type="character" w:customStyle="1" w:styleId="162">
    <w:name w:val="apple-converted-space"/>
    <w:autoRedefine/>
    <w:qFormat/>
    <w:uiPriority w:val="0"/>
  </w:style>
  <w:style w:type="paragraph" w:customStyle="1" w:styleId="163">
    <w:name w:val="TOC 标题1"/>
    <w:basedOn w:val="3"/>
    <w:next w:val="1"/>
    <w:autoRedefine/>
    <w:qFormat/>
    <w:uiPriority w:val="0"/>
    <w:pPr>
      <w:spacing w:before="480" w:after="0" w:line="276" w:lineRule="auto"/>
      <w:jc w:val="left"/>
      <w:outlineLvl w:val="9"/>
    </w:pPr>
    <w:rPr>
      <w:rFonts w:ascii="Cambria" w:hAnsi="Cambria" w:eastAsia="宋体"/>
      <w:color w:val="365F91"/>
      <w:kern w:val="0"/>
    </w:rPr>
  </w:style>
  <w:style w:type="paragraph" w:customStyle="1" w:styleId="164">
    <w:name w:val="Char Char Char"/>
    <w:basedOn w:val="1"/>
    <w:autoRedefine/>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65">
    <w:name w:val="列出段落1"/>
    <w:basedOn w:val="1"/>
    <w:link w:val="166"/>
    <w:autoRedefine/>
    <w:qFormat/>
    <w:uiPriority w:val="0"/>
    <w:pPr>
      <w:widowControl/>
      <w:shd w:val="clear" w:color="auto" w:fill="FFFFFF"/>
      <w:tabs>
        <w:tab w:val="left" w:pos="426"/>
      </w:tabs>
      <w:adjustRightInd w:val="0"/>
      <w:snapToGrid w:val="0"/>
      <w:spacing w:line="360" w:lineRule="auto"/>
      <w:ind w:firstLine="200" w:firstLineChars="200"/>
    </w:pPr>
    <w:rPr>
      <w:rFonts w:ascii="Times New Roman" w:hAnsi="Times New Roman" w:eastAsia="宋体" w:cs="Times New Roman"/>
      <w:szCs w:val="24"/>
    </w:rPr>
  </w:style>
  <w:style w:type="character" w:customStyle="1" w:styleId="166">
    <w:name w:val="List Paragraph Char"/>
    <w:link w:val="165"/>
    <w:autoRedefine/>
    <w:qFormat/>
    <w:locked/>
    <w:uiPriority w:val="0"/>
    <w:rPr>
      <w:rFonts w:ascii="Times New Roman" w:hAnsi="Times New Roman" w:eastAsia="宋体" w:cs="Times New Roman"/>
      <w:szCs w:val="24"/>
      <w:shd w:val="clear" w:color="auto" w:fill="FFFFFF"/>
    </w:rPr>
  </w:style>
  <w:style w:type="paragraph" w:customStyle="1" w:styleId="167">
    <w:name w:val="Default"/>
    <w:autoRedefine/>
    <w:qFormat/>
    <w:uiPriority w:val="0"/>
    <w:pPr>
      <w:widowControl w:val="0"/>
      <w:autoSpaceDE w:val="0"/>
      <w:autoSpaceDN w:val="0"/>
      <w:adjustRightInd w:val="0"/>
      <w:spacing w:line="360" w:lineRule="auto"/>
      <w:jc w:val="both"/>
    </w:pPr>
    <w:rPr>
      <w:rFonts w:ascii="宋体" w:hAnsi="Times New Roman" w:eastAsia="宋体" w:cs="Times New Roman"/>
      <w:color w:val="000000"/>
      <w:sz w:val="24"/>
      <w:szCs w:val="24"/>
      <w:lang w:val="en-US" w:eastAsia="zh-CN" w:bidi="ar-SA"/>
    </w:rPr>
  </w:style>
  <w:style w:type="paragraph" w:customStyle="1" w:styleId="168">
    <w:name w:val="主题"/>
    <w:basedOn w:val="1"/>
    <w:autoRedefine/>
    <w:qFormat/>
    <w:uiPriority w:val="0"/>
    <w:pPr>
      <w:widowControl/>
      <w:shd w:val="clear" w:color="auto" w:fill="FFFFFF"/>
      <w:tabs>
        <w:tab w:val="left" w:pos="426"/>
      </w:tabs>
      <w:adjustRightInd w:val="0"/>
      <w:snapToGrid w:val="0"/>
      <w:spacing w:line="360" w:lineRule="auto"/>
    </w:pPr>
    <w:rPr>
      <w:rFonts w:ascii="宋体" w:hAnsi="Times New Roman" w:eastAsia="宋体" w:cs="宋体"/>
      <w:kern w:val="0"/>
      <w:szCs w:val="24"/>
    </w:rPr>
  </w:style>
  <w:style w:type="paragraph" w:customStyle="1" w:styleId="169">
    <w:name w:val="默认段落字体 Para Char Char Char Char Char Char Char Char Char3 Char Char Char Char"/>
    <w:basedOn w:val="25"/>
    <w:autoRedefine/>
    <w:qFormat/>
    <w:uiPriority w:val="0"/>
    <w:pPr>
      <w:spacing w:line="436" w:lineRule="exact"/>
      <w:ind w:left="357"/>
      <w:jc w:val="left"/>
      <w:outlineLvl w:val="3"/>
    </w:pPr>
    <w:rPr>
      <w:rFonts w:ascii="Tahoma" w:hAnsi="Tahoma"/>
      <w:b/>
      <w:sz w:val="24"/>
    </w:rPr>
  </w:style>
  <w:style w:type="paragraph" w:customStyle="1" w:styleId="170">
    <w:name w:val="目次、标准名称标题"/>
    <w:basedOn w:val="1"/>
    <w:next w:val="1"/>
    <w:autoRedefine/>
    <w:qFormat/>
    <w:uiPriority w:val="0"/>
    <w:pPr>
      <w:widowControl/>
      <w:shd w:val="clear" w:color="FFFFFF" w:fill="FFFFFF"/>
      <w:tabs>
        <w:tab w:val="left" w:pos="426"/>
      </w:tabs>
      <w:adjustRightInd w:val="0"/>
      <w:snapToGrid w:val="0"/>
      <w:spacing w:before="640" w:after="560" w:line="460" w:lineRule="exact"/>
      <w:jc w:val="center"/>
      <w:outlineLvl w:val="0"/>
    </w:pPr>
    <w:rPr>
      <w:rFonts w:ascii="黑体" w:hAnsi="Times New Roman" w:eastAsia="黑体" w:cs="宋体"/>
      <w:kern w:val="0"/>
      <w:sz w:val="32"/>
      <w:szCs w:val="20"/>
    </w:rPr>
  </w:style>
  <w:style w:type="paragraph" w:customStyle="1" w:styleId="171">
    <w:name w:val="表1黑体居中"/>
    <w:basedOn w:val="1"/>
    <w:autoRedefine/>
    <w:qFormat/>
    <w:uiPriority w:val="0"/>
    <w:pPr>
      <w:widowControl/>
      <w:shd w:val="clear" w:color="auto" w:fill="FFFFFF"/>
      <w:tabs>
        <w:tab w:val="left" w:pos="426"/>
      </w:tabs>
      <w:adjustRightInd w:val="0"/>
      <w:snapToGrid w:val="0"/>
      <w:spacing w:line="360" w:lineRule="auto"/>
      <w:ind w:firstLine="435"/>
      <w:jc w:val="center"/>
      <w:textAlignment w:val="baseline"/>
    </w:pPr>
    <w:rPr>
      <w:rFonts w:ascii="黑体" w:hAnsi="Times New Roman" w:eastAsia="黑体" w:cs="宋体"/>
      <w:kern w:val="0"/>
      <w:szCs w:val="21"/>
    </w:rPr>
  </w:style>
  <w:style w:type="paragraph" w:customStyle="1" w:styleId="172">
    <w:name w:val="MaoC2"/>
    <w:basedOn w:val="1"/>
    <w:autoRedefine/>
    <w:qFormat/>
    <w:uiPriority w:val="0"/>
    <w:pPr>
      <w:widowControl/>
      <w:numPr>
        <w:ilvl w:val="1"/>
        <w:numId w:val="11"/>
      </w:numPr>
      <w:shd w:val="clear" w:color="auto" w:fill="FFFFFF"/>
      <w:tabs>
        <w:tab w:val="left" w:pos="426"/>
      </w:tabs>
      <w:adjustRightInd w:val="0"/>
      <w:snapToGrid w:val="0"/>
      <w:spacing w:line="480" w:lineRule="auto"/>
      <w:outlineLvl w:val="1"/>
    </w:pPr>
    <w:rPr>
      <w:rFonts w:ascii="黑体" w:hAnsi="Times New Roman" w:eastAsia="黑体" w:cs="宋体"/>
      <w:kern w:val="0"/>
      <w:szCs w:val="20"/>
    </w:rPr>
  </w:style>
  <w:style w:type="paragraph" w:customStyle="1" w:styleId="173">
    <w:name w:val="图目录4"/>
    <w:basedOn w:val="1"/>
    <w:next w:val="1"/>
    <w:autoRedefine/>
    <w:qFormat/>
    <w:uiPriority w:val="0"/>
    <w:pPr>
      <w:widowControl/>
      <w:numPr>
        <w:ilvl w:val="0"/>
        <w:numId w:val="12"/>
      </w:numPr>
      <w:shd w:val="clear" w:color="auto" w:fill="FFFFFF"/>
      <w:tabs>
        <w:tab w:val="left" w:pos="426"/>
      </w:tabs>
      <w:adjustRightInd w:val="0"/>
      <w:snapToGrid w:val="0"/>
      <w:spacing w:line="360" w:lineRule="auto"/>
      <w:ind w:left="0" w:hanging="448"/>
      <w:jc w:val="center"/>
      <w:textAlignment w:val="baseline"/>
    </w:pPr>
    <w:rPr>
      <w:rFonts w:ascii="宋体" w:hAnsi="Times New Roman" w:eastAsia="宋体" w:cs="宋体"/>
      <w:kern w:val="0"/>
      <w:szCs w:val="20"/>
    </w:rPr>
  </w:style>
  <w:style w:type="paragraph" w:customStyle="1" w:styleId="174">
    <w:name w:val="段"/>
    <w:autoRedefine/>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75">
    <w:name w:val="样式1"/>
    <w:basedOn w:val="1"/>
    <w:autoRedefine/>
    <w:qFormat/>
    <w:uiPriority w:val="0"/>
    <w:pPr>
      <w:keepNext/>
      <w:keepLines/>
      <w:widowControl/>
      <w:numPr>
        <w:ilvl w:val="0"/>
        <w:numId w:val="13"/>
      </w:numPr>
      <w:shd w:val="clear" w:color="auto" w:fill="FFFFFF"/>
      <w:tabs>
        <w:tab w:val="left" w:pos="426"/>
      </w:tabs>
      <w:adjustRightInd w:val="0"/>
      <w:snapToGrid w:val="0"/>
      <w:spacing w:before="340" w:after="330" w:line="360" w:lineRule="auto"/>
      <w:outlineLvl w:val="0"/>
    </w:pPr>
    <w:rPr>
      <w:rFonts w:ascii="宋体" w:hAnsi="Times New Roman" w:eastAsia="宋体" w:cs="宋体"/>
      <w:b/>
      <w:kern w:val="44"/>
      <w:sz w:val="44"/>
      <w:szCs w:val="20"/>
    </w:rPr>
  </w:style>
  <w:style w:type="paragraph" w:customStyle="1" w:styleId="176">
    <w:name w:val="参数内容"/>
    <w:basedOn w:val="165"/>
    <w:autoRedefine/>
    <w:qFormat/>
    <w:uiPriority w:val="0"/>
    <w:pPr>
      <w:numPr>
        <w:ilvl w:val="0"/>
        <w:numId w:val="14"/>
      </w:numPr>
      <w:ind w:left="0" w:firstLine="0" w:firstLineChars="0"/>
    </w:pPr>
    <w:rPr>
      <w:szCs w:val="18"/>
    </w:rPr>
  </w:style>
  <w:style w:type="paragraph" w:customStyle="1" w:styleId="177">
    <w:name w:val="标准正文"/>
    <w:basedOn w:val="34"/>
    <w:autoRedefine/>
    <w:qFormat/>
    <w:uiPriority w:val="0"/>
    <w:pPr>
      <w:spacing w:before="60" w:after="60"/>
      <w:ind w:firstLine="482" w:firstLineChars="0"/>
      <w:jc w:val="left"/>
    </w:pPr>
    <w:rPr>
      <w:rFonts w:ascii="宋体"/>
      <w:kern w:val="0"/>
      <w:sz w:val="24"/>
      <w:szCs w:val="20"/>
    </w:rPr>
  </w:style>
  <w:style w:type="paragraph" w:customStyle="1" w:styleId="178">
    <w:name w:val="下级参数内容"/>
    <w:basedOn w:val="165"/>
    <w:autoRedefine/>
    <w:qFormat/>
    <w:uiPriority w:val="0"/>
    <w:pPr>
      <w:numPr>
        <w:ilvl w:val="0"/>
        <w:numId w:val="15"/>
      </w:numPr>
      <w:ind w:left="1134" w:firstLine="0" w:firstLineChars="0"/>
    </w:pPr>
    <w:rPr>
      <w:rFonts w:ascii="仿宋" w:hAnsi="仿宋"/>
    </w:rPr>
  </w:style>
  <w:style w:type="paragraph" w:customStyle="1" w:styleId="179">
    <w:name w:val="Char Char Char1"/>
    <w:basedOn w:val="1"/>
    <w:autoRedefine/>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80">
    <w:name w:val="Char Char10 Char Char"/>
    <w:basedOn w:val="25"/>
    <w:autoRedefine/>
    <w:qFormat/>
    <w:uiPriority w:val="0"/>
    <w:rPr>
      <w:rFonts w:ascii="Tahoma" w:hAnsi="Tahoma"/>
      <w:sz w:val="24"/>
    </w:rPr>
  </w:style>
  <w:style w:type="paragraph" w:customStyle="1" w:styleId="181">
    <w:name w:val="_Style 95"/>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82">
    <w:name w:val="font5"/>
    <w:basedOn w:val="1"/>
    <w:autoRedefine/>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Times New Roman" w:eastAsia="宋体" w:cs="宋体"/>
      <w:kern w:val="0"/>
      <w:sz w:val="18"/>
      <w:szCs w:val="18"/>
    </w:rPr>
  </w:style>
  <w:style w:type="paragraph" w:customStyle="1" w:styleId="183">
    <w:name w:val="xl65"/>
    <w:basedOn w:val="1"/>
    <w:autoRedefine/>
    <w:qFormat/>
    <w:uiPriority w:val="0"/>
    <w:pPr>
      <w:widowControl/>
      <w:pBdr>
        <w:top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Times New Roman" w:eastAsia="宋体" w:cs="宋体"/>
      <w:b/>
      <w:bCs/>
      <w:kern w:val="0"/>
      <w:sz w:val="24"/>
      <w:szCs w:val="24"/>
    </w:rPr>
  </w:style>
  <w:style w:type="paragraph" w:customStyle="1" w:styleId="184">
    <w:name w:val="xl66"/>
    <w:basedOn w:val="1"/>
    <w:autoRedefine/>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Times New Roman" w:eastAsia="宋体" w:cs="宋体"/>
      <w:kern w:val="0"/>
      <w:sz w:val="24"/>
      <w:szCs w:val="24"/>
    </w:rPr>
  </w:style>
  <w:style w:type="paragraph" w:customStyle="1" w:styleId="185">
    <w:name w:val="xl67"/>
    <w:basedOn w:val="1"/>
    <w:autoRedefine/>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Times New Roman" w:eastAsia="宋体" w:cs="宋体"/>
      <w:color w:val="000000"/>
      <w:kern w:val="0"/>
      <w:sz w:val="24"/>
      <w:szCs w:val="24"/>
    </w:rPr>
  </w:style>
  <w:style w:type="paragraph" w:customStyle="1" w:styleId="186">
    <w:name w:val="xl6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Times New Roman" w:eastAsia="宋体" w:cs="宋体"/>
      <w:b/>
      <w:bCs/>
      <w:kern w:val="0"/>
      <w:sz w:val="24"/>
      <w:szCs w:val="24"/>
    </w:rPr>
  </w:style>
  <w:style w:type="paragraph" w:customStyle="1" w:styleId="187">
    <w:name w:val="xl69"/>
    <w:basedOn w:val="1"/>
    <w:autoRedefine/>
    <w:qFormat/>
    <w:uiPriority w:val="0"/>
    <w:pPr>
      <w:widowControl/>
      <w:pBdr>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Times New Roman" w:eastAsia="宋体" w:cs="宋体"/>
      <w:kern w:val="0"/>
      <w:sz w:val="24"/>
      <w:szCs w:val="24"/>
    </w:rPr>
  </w:style>
  <w:style w:type="paragraph" w:customStyle="1" w:styleId="188">
    <w:name w:val="样式 标题 3style3H3h33rd levelLevel 3 Headlevel_3PIM 33l3C..."/>
    <w:basedOn w:val="4"/>
    <w:autoRedefine/>
    <w:qFormat/>
    <w:uiPriority w:val="0"/>
    <w:pPr>
      <w:tabs>
        <w:tab w:val="left" w:pos="426"/>
        <w:tab w:val="left" w:pos="851"/>
      </w:tabs>
      <w:spacing w:beforeLines="50" w:afterLines="50" w:line="415" w:lineRule="auto"/>
      <w:ind w:left="-2" w:leftChars="-2" w:right="220" w:firstLine="203" w:firstLineChars="203"/>
      <w:jc w:val="left"/>
    </w:pPr>
    <w:rPr>
      <w:rFonts w:ascii="Times New Roman"/>
      <w:bCs w:val="0"/>
      <w:color w:val="000000"/>
      <w:szCs w:val="20"/>
    </w:rPr>
  </w:style>
  <w:style w:type="paragraph" w:customStyle="1" w:styleId="189">
    <w:name w:val="样式2"/>
    <w:basedOn w:val="3"/>
    <w:autoRedefine/>
    <w:qFormat/>
    <w:uiPriority w:val="0"/>
    <w:pPr>
      <w:keepNext/>
      <w:keepLines/>
      <w:spacing w:before="0" w:after="0" w:line="578" w:lineRule="auto"/>
      <w:ind w:left="1200" w:hanging="420"/>
      <w:jc w:val="both"/>
    </w:pPr>
    <w:rPr>
      <w:rFonts w:eastAsia="宋体"/>
      <w:szCs w:val="44"/>
    </w:rPr>
  </w:style>
  <w:style w:type="paragraph" w:customStyle="1" w:styleId="190">
    <w:name w:val="样式3"/>
    <w:basedOn w:val="1"/>
    <w:autoRedefine/>
    <w:qFormat/>
    <w:uiPriority w:val="0"/>
    <w:pPr>
      <w:widowControl/>
      <w:shd w:val="clear" w:color="auto" w:fill="FFFFFF"/>
      <w:tabs>
        <w:tab w:val="left" w:pos="426"/>
      </w:tabs>
      <w:adjustRightInd w:val="0"/>
      <w:snapToGrid w:val="0"/>
      <w:spacing w:line="360" w:lineRule="auto"/>
      <w:ind w:left="1620" w:hanging="420"/>
      <w:outlineLvl w:val="2"/>
    </w:pPr>
    <w:rPr>
      <w:rFonts w:ascii="宋体" w:hAnsi="Times New Roman" w:eastAsia="宋体" w:cs="宋体"/>
      <w:b/>
      <w:kern w:val="0"/>
      <w:szCs w:val="24"/>
    </w:rPr>
  </w:style>
  <w:style w:type="paragraph" w:customStyle="1" w:styleId="191">
    <w:name w:val="样式4"/>
    <w:basedOn w:val="165"/>
    <w:autoRedefine/>
    <w:qFormat/>
    <w:uiPriority w:val="0"/>
    <w:pPr>
      <w:ind w:left="2040" w:firstLine="0" w:firstLineChars="0"/>
      <w:jc w:val="left"/>
      <w:outlineLvl w:val="3"/>
    </w:pPr>
    <w:rPr>
      <w:rFonts w:ascii="宋体"/>
    </w:rPr>
  </w:style>
  <w:style w:type="paragraph" w:customStyle="1" w:styleId="192">
    <w:name w:val="p0"/>
    <w:basedOn w:val="1"/>
    <w:autoRedefine/>
    <w:qFormat/>
    <w:uiPriority w:val="0"/>
    <w:pPr>
      <w:widowControl/>
      <w:shd w:val="clear" w:color="auto" w:fill="FFFFFF"/>
      <w:tabs>
        <w:tab w:val="left" w:pos="426"/>
      </w:tabs>
      <w:adjustRightInd w:val="0"/>
      <w:snapToGrid w:val="0"/>
      <w:spacing w:line="360" w:lineRule="auto"/>
    </w:pPr>
    <w:rPr>
      <w:rFonts w:ascii="Calibri" w:hAnsi="Calibri" w:eastAsia="宋体" w:cs="宋体"/>
      <w:kern w:val="0"/>
      <w:szCs w:val="21"/>
    </w:rPr>
  </w:style>
  <w:style w:type="paragraph" w:customStyle="1" w:styleId="193">
    <w:name w:val="图标题"/>
    <w:basedOn w:val="1"/>
    <w:autoRedefine/>
    <w:qFormat/>
    <w:uiPriority w:val="0"/>
    <w:pPr>
      <w:widowControl/>
      <w:shd w:val="clear" w:color="auto" w:fill="FFFFFF"/>
      <w:tabs>
        <w:tab w:val="left" w:pos="426"/>
      </w:tabs>
      <w:adjustRightInd w:val="0"/>
      <w:snapToGrid w:val="0"/>
      <w:spacing w:line="360" w:lineRule="auto"/>
      <w:jc w:val="center"/>
    </w:pPr>
    <w:rPr>
      <w:rFonts w:ascii="宋体" w:hAnsi="Times New Roman" w:eastAsia="宋体" w:cs="Times New Roman"/>
      <w:szCs w:val="24"/>
    </w:rPr>
  </w:style>
  <w:style w:type="paragraph" w:customStyle="1" w:styleId="194">
    <w:name w:val="表标题"/>
    <w:basedOn w:val="1"/>
    <w:autoRedefine/>
    <w:qFormat/>
    <w:uiPriority w:val="0"/>
    <w:pPr>
      <w:widowControl/>
      <w:shd w:val="clear" w:color="auto" w:fill="FFFFFF"/>
      <w:tabs>
        <w:tab w:val="left" w:pos="426"/>
      </w:tabs>
      <w:adjustRightInd w:val="0"/>
      <w:snapToGrid w:val="0"/>
      <w:spacing w:line="360" w:lineRule="auto"/>
      <w:jc w:val="center"/>
    </w:pPr>
    <w:rPr>
      <w:rFonts w:ascii="宋体" w:hAnsi="Times New Roman" w:eastAsia="黑体" w:cs="宋体"/>
      <w:b/>
      <w:kern w:val="0"/>
      <w:szCs w:val="24"/>
    </w:rPr>
  </w:style>
  <w:style w:type="paragraph" w:customStyle="1" w:styleId="195">
    <w:name w:val="正文-1级标题-1"/>
    <w:basedOn w:val="1"/>
    <w:next w:val="1"/>
    <w:autoRedefine/>
    <w:qFormat/>
    <w:uiPriority w:val="0"/>
    <w:pPr>
      <w:keepNext/>
      <w:widowControl/>
      <w:shd w:val="clear" w:color="auto" w:fill="FFFFFF"/>
      <w:tabs>
        <w:tab w:val="left" w:pos="420"/>
      </w:tabs>
      <w:adjustRightInd w:val="0"/>
      <w:snapToGrid w:val="0"/>
      <w:spacing w:beforeLines="30" w:afterLines="30" w:line="360" w:lineRule="auto"/>
    </w:pPr>
    <w:rPr>
      <w:rFonts w:ascii="宋体" w:hAnsi="Times New Roman" w:eastAsia="宋体" w:cs="宋体"/>
      <w:b/>
      <w:kern w:val="0"/>
      <w:sz w:val="24"/>
      <w:szCs w:val="28"/>
      <w:lang w:val="en-GB" w:eastAsia="en-GB"/>
    </w:rPr>
  </w:style>
  <w:style w:type="paragraph" w:customStyle="1" w:styleId="196">
    <w:name w:val="正文-1级列表-(1)"/>
    <w:basedOn w:val="1"/>
    <w:autoRedefine/>
    <w:qFormat/>
    <w:uiPriority w:val="0"/>
    <w:pPr>
      <w:widowControl/>
      <w:shd w:val="clear" w:color="auto" w:fill="FFFFFF"/>
      <w:tabs>
        <w:tab w:val="left" w:pos="420"/>
      </w:tabs>
      <w:adjustRightInd w:val="0"/>
      <w:snapToGrid w:val="0"/>
      <w:spacing w:line="360" w:lineRule="auto"/>
      <w:ind w:left="800"/>
    </w:pPr>
    <w:rPr>
      <w:rFonts w:ascii="宋体" w:hAnsi="Times New Roman" w:eastAsia="宋体" w:cs="宋体"/>
      <w:kern w:val="0"/>
      <w:sz w:val="24"/>
      <w:szCs w:val="24"/>
      <w:lang w:val="en-GB" w:eastAsia="en-GB"/>
    </w:rPr>
  </w:style>
  <w:style w:type="paragraph" w:customStyle="1" w:styleId="197">
    <w:name w:val="样式 标题 1 + 段前: 0.5 行 段后: 0.5 行"/>
    <w:basedOn w:val="3"/>
    <w:autoRedefine/>
    <w:qFormat/>
    <w:uiPriority w:val="0"/>
    <w:pPr>
      <w:keepNext/>
      <w:keepLines/>
      <w:numPr>
        <w:ilvl w:val="0"/>
        <w:numId w:val="16"/>
      </w:numPr>
      <w:spacing w:beforeLines="50" w:afterLines="50" w:line="578" w:lineRule="auto"/>
      <w:ind w:left="0" w:firstLine="0"/>
      <w:jc w:val="both"/>
    </w:pPr>
    <w:rPr>
      <w:rFonts w:ascii="Times New Roman" w:eastAsia="宋体"/>
      <w:sz w:val="44"/>
      <w:szCs w:val="20"/>
    </w:rPr>
  </w:style>
  <w:style w:type="paragraph" w:customStyle="1" w:styleId="198">
    <w:name w:val="样式 标题 4 + 段前: 0.5 行 段后: 0.5 行"/>
    <w:basedOn w:val="6"/>
    <w:autoRedefine/>
    <w:qFormat/>
    <w:uiPriority w:val="0"/>
    <w:pPr>
      <w:spacing w:beforeLines="50" w:afterLines="50"/>
      <w:ind w:left="2240"/>
      <w:jc w:val="left"/>
    </w:pPr>
    <w:rPr>
      <w:rFonts w:ascii="Cambria" w:hAnsi="Cambria" w:eastAsia="宋体" w:cs="宋体"/>
      <w:sz w:val="24"/>
      <w:szCs w:val="20"/>
    </w:rPr>
  </w:style>
  <w:style w:type="paragraph" w:customStyle="1" w:styleId="199">
    <w:name w:val="样式 标题 4 + 段前: 0.5 行 段后: 0.5 行1"/>
    <w:basedOn w:val="6"/>
    <w:autoRedefine/>
    <w:qFormat/>
    <w:uiPriority w:val="0"/>
    <w:pPr>
      <w:spacing w:beforeLines="50" w:afterLines="50"/>
      <w:ind w:left="-1" w:leftChars="-1" w:firstLine="233" w:firstLineChars="233"/>
      <w:jc w:val="left"/>
    </w:pPr>
    <w:rPr>
      <w:rFonts w:ascii="Cambria" w:hAnsi="Cambria" w:eastAsia="宋体" w:cs="宋体"/>
      <w:sz w:val="24"/>
      <w:szCs w:val="20"/>
    </w:rPr>
  </w:style>
  <w:style w:type="paragraph" w:customStyle="1" w:styleId="200">
    <w:name w:val="￥正文"/>
    <w:basedOn w:val="1"/>
    <w:autoRedefine/>
    <w:qFormat/>
    <w:uiPriority w:val="0"/>
    <w:pPr>
      <w:widowControl/>
      <w:shd w:val="clear" w:color="auto" w:fill="FFFFFF"/>
      <w:tabs>
        <w:tab w:val="left" w:pos="426"/>
      </w:tabs>
      <w:adjustRightInd w:val="0"/>
      <w:snapToGrid w:val="0"/>
      <w:spacing w:line="360" w:lineRule="auto"/>
      <w:ind w:firstLine="200" w:firstLineChars="200"/>
    </w:pPr>
    <w:rPr>
      <w:rFonts w:ascii="Calibri" w:hAnsi="Calibri" w:eastAsia="宋体" w:cs="Times New Roman"/>
      <w:sz w:val="24"/>
      <w:szCs w:val="20"/>
    </w:rPr>
  </w:style>
  <w:style w:type="paragraph" w:customStyle="1" w:styleId="201">
    <w:name w:val="样式 标题 4h4heading 4h41heading 41h42heading 42h411heading ..."/>
    <w:basedOn w:val="6"/>
    <w:autoRedefine/>
    <w:qFormat/>
    <w:uiPriority w:val="0"/>
    <w:pPr>
      <w:spacing w:beforeLines="50" w:afterLines="50"/>
      <w:ind w:left="2240" w:right="220"/>
      <w:jc w:val="left"/>
    </w:pPr>
    <w:rPr>
      <w:rFonts w:ascii="Cambria" w:hAnsi="Cambria" w:eastAsia="宋体" w:cs="宋体"/>
      <w:sz w:val="24"/>
      <w:szCs w:val="20"/>
    </w:rPr>
  </w:style>
  <w:style w:type="paragraph" w:customStyle="1" w:styleId="202">
    <w:name w:val="!项目ALT+P"/>
    <w:basedOn w:val="1"/>
    <w:autoRedefine/>
    <w:qFormat/>
    <w:uiPriority w:val="0"/>
    <w:pPr>
      <w:widowControl/>
      <w:numPr>
        <w:ilvl w:val="0"/>
        <w:numId w:val="17"/>
      </w:numPr>
      <w:shd w:val="clear" w:color="auto" w:fill="FFFFFF"/>
      <w:tabs>
        <w:tab w:val="clear" w:pos="420"/>
      </w:tabs>
      <w:adjustRightInd w:val="0"/>
      <w:snapToGrid w:val="0"/>
      <w:spacing w:line="320" w:lineRule="atLeast"/>
      <w:ind w:left="0" w:firstLine="0"/>
      <w:textAlignment w:val="baseline"/>
    </w:pPr>
    <w:rPr>
      <w:rFonts w:ascii="宋体" w:hAnsi="Times New Roman" w:eastAsia="宋体" w:cs="宋体"/>
      <w:kern w:val="0"/>
      <w:szCs w:val="21"/>
    </w:rPr>
  </w:style>
  <w:style w:type="paragraph" w:customStyle="1" w:styleId="203">
    <w:name w:val="样式 样式 (符号) 宋体 小四 行距: 1.5 倍行距 首行缩进:  1.5 字符 + 宋体 首行缩进:  2 字符"/>
    <w:basedOn w:val="1"/>
    <w:autoRedefine/>
    <w:qFormat/>
    <w:uiPriority w:val="0"/>
    <w:pPr>
      <w:widowControl/>
      <w:shd w:val="clear" w:color="auto" w:fill="FFFFFF"/>
      <w:tabs>
        <w:tab w:val="left" w:pos="426"/>
      </w:tabs>
      <w:adjustRightInd w:val="0"/>
      <w:snapToGrid w:val="0"/>
      <w:spacing w:line="360" w:lineRule="auto"/>
      <w:ind w:firstLine="200" w:firstLineChars="200"/>
    </w:pPr>
    <w:rPr>
      <w:rFonts w:ascii="宋体" w:hAnsi="Times New Roman" w:eastAsia="宋体" w:cs="宋体"/>
      <w:kern w:val="0"/>
      <w:sz w:val="24"/>
      <w:szCs w:val="20"/>
    </w:rPr>
  </w:style>
  <w:style w:type="paragraph" w:customStyle="1" w:styleId="204">
    <w:name w:val="正文内容"/>
    <w:basedOn w:val="1"/>
    <w:next w:val="25"/>
    <w:autoRedefine/>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kern w:val="0"/>
      <w:sz w:val="20"/>
      <w:szCs w:val="24"/>
    </w:rPr>
  </w:style>
  <w:style w:type="paragraph" w:customStyle="1" w:styleId="205">
    <w:name w:val="方案标题1"/>
    <w:basedOn w:val="82"/>
    <w:autoRedefine/>
    <w:qFormat/>
    <w:uiPriority w:val="0"/>
    <w:pPr>
      <w:numPr>
        <w:ilvl w:val="0"/>
        <w:numId w:val="18"/>
      </w:numPr>
      <w:spacing w:beforeLines="50" w:afterLines="50"/>
      <w:ind w:firstLine="200" w:firstLineChars="200"/>
      <w:jc w:val="both"/>
    </w:pPr>
    <w:rPr>
      <w:color w:val="000000"/>
    </w:rPr>
  </w:style>
  <w:style w:type="paragraph" w:customStyle="1" w:styleId="206">
    <w:name w:val="方案标题2"/>
    <w:basedOn w:val="82"/>
    <w:autoRedefine/>
    <w:qFormat/>
    <w:uiPriority w:val="0"/>
    <w:pPr>
      <w:numPr>
        <w:ilvl w:val="1"/>
        <w:numId w:val="18"/>
      </w:numPr>
      <w:spacing w:beforeLines="50" w:afterLines="50"/>
      <w:ind w:firstLine="200" w:firstLineChars="200"/>
      <w:jc w:val="left"/>
      <w:outlineLvl w:val="1"/>
    </w:pPr>
    <w:rPr>
      <w:rFonts w:eastAsia="仿宋_GB2312"/>
      <w:color w:val="000000"/>
      <w:sz w:val="30"/>
      <w:szCs w:val="30"/>
    </w:rPr>
  </w:style>
  <w:style w:type="paragraph" w:customStyle="1" w:styleId="207">
    <w:name w:val="方案标题3"/>
    <w:basedOn w:val="82"/>
    <w:autoRedefine/>
    <w:qFormat/>
    <w:uiPriority w:val="0"/>
    <w:pPr>
      <w:numPr>
        <w:ilvl w:val="2"/>
        <w:numId w:val="18"/>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208">
    <w:name w:val="正文Land"/>
    <w:basedOn w:val="1"/>
    <w:autoRedefine/>
    <w:qFormat/>
    <w:uiPriority w:val="0"/>
    <w:pPr>
      <w:widowControl/>
      <w:shd w:val="clear" w:color="auto" w:fill="FFFFFF"/>
      <w:tabs>
        <w:tab w:val="left" w:pos="426"/>
      </w:tabs>
      <w:adjustRightInd w:val="0"/>
      <w:snapToGrid w:val="0"/>
      <w:spacing w:beforeLines="20" w:afterLines="50" w:line="360" w:lineRule="auto"/>
      <w:ind w:firstLine="200" w:firstLineChars="200"/>
    </w:pPr>
    <w:rPr>
      <w:rFonts w:ascii="宋体" w:hAnsi="Times New Roman" w:eastAsia="宋体" w:cs="宋体"/>
      <w:color w:val="000000"/>
      <w:kern w:val="0"/>
      <w:sz w:val="24"/>
      <w:szCs w:val="24"/>
    </w:rPr>
  </w:style>
  <w:style w:type="paragraph" w:customStyle="1" w:styleId="209">
    <w:name w:val="样式5"/>
    <w:basedOn w:val="1"/>
    <w:autoRedefine/>
    <w:qFormat/>
    <w:uiPriority w:val="0"/>
    <w:pPr>
      <w:widowControl/>
      <w:numPr>
        <w:ilvl w:val="0"/>
        <w:numId w:val="19"/>
      </w:numPr>
      <w:shd w:val="clear" w:color="auto" w:fill="FFFFFF"/>
      <w:tabs>
        <w:tab w:val="left" w:pos="426"/>
      </w:tabs>
      <w:adjustRightInd w:val="0"/>
      <w:snapToGrid w:val="0"/>
      <w:spacing w:beforeLines="50" w:afterLines="50" w:line="360" w:lineRule="auto"/>
      <w:ind w:left="0" w:firstLine="0"/>
    </w:pPr>
    <w:rPr>
      <w:rFonts w:ascii="宋体" w:hAnsi="Times New Roman" w:eastAsia="仿宋_GB2312" w:cs="宋体"/>
      <w:color w:val="000000"/>
      <w:kern w:val="0"/>
      <w:sz w:val="24"/>
      <w:szCs w:val="24"/>
    </w:rPr>
  </w:style>
  <w:style w:type="paragraph" w:customStyle="1" w:styleId="210">
    <w:name w:val="font6"/>
    <w:basedOn w:val="1"/>
    <w:autoRedefine/>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Times New Roman" w:eastAsia="宋体" w:cs="宋体"/>
      <w:kern w:val="0"/>
      <w:sz w:val="18"/>
      <w:szCs w:val="18"/>
    </w:rPr>
  </w:style>
  <w:style w:type="paragraph" w:customStyle="1" w:styleId="211">
    <w:name w:val="xl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Times New Roman" w:eastAsia="宋体" w:cs="宋体"/>
      <w:b/>
      <w:bCs/>
      <w:color w:val="000000"/>
      <w:kern w:val="0"/>
      <w:sz w:val="24"/>
      <w:szCs w:val="24"/>
    </w:rPr>
  </w:style>
  <w:style w:type="paragraph" w:customStyle="1" w:styleId="21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Times New Roman" w:eastAsia="宋体" w:cs="宋体"/>
      <w:b/>
      <w:bCs/>
      <w:color w:val="000000"/>
      <w:kern w:val="0"/>
      <w:sz w:val="24"/>
      <w:szCs w:val="24"/>
    </w:rPr>
  </w:style>
  <w:style w:type="paragraph" w:customStyle="1" w:styleId="213">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Times New Roman" w:eastAsia="宋体" w:cs="宋体"/>
      <w:color w:val="000000"/>
      <w:kern w:val="0"/>
      <w:sz w:val="24"/>
      <w:szCs w:val="24"/>
    </w:rPr>
  </w:style>
  <w:style w:type="paragraph" w:customStyle="1" w:styleId="214">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textAlignment w:val="center"/>
    </w:pPr>
    <w:rPr>
      <w:rFonts w:ascii="宋体" w:hAnsi="Times New Roman" w:eastAsia="宋体" w:cs="宋体"/>
      <w:color w:val="000000"/>
      <w:kern w:val="0"/>
      <w:sz w:val="24"/>
      <w:szCs w:val="24"/>
    </w:rPr>
  </w:style>
  <w:style w:type="paragraph" w:customStyle="1" w:styleId="21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Times New Roman" w:eastAsia="宋体" w:cs="宋体"/>
      <w:color w:val="000000"/>
      <w:kern w:val="0"/>
      <w:sz w:val="24"/>
      <w:szCs w:val="24"/>
    </w:rPr>
  </w:style>
  <w:style w:type="paragraph" w:customStyle="1" w:styleId="21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pPr>
    <w:rPr>
      <w:rFonts w:ascii="宋体" w:hAnsi="Times New Roman" w:eastAsia="宋体" w:cs="宋体"/>
      <w:color w:val="000000"/>
      <w:kern w:val="0"/>
      <w:sz w:val="24"/>
      <w:szCs w:val="24"/>
    </w:rPr>
  </w:style>
  <w:style w:type="paragraph" w:customStyle="1" w:styleId="217">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Times New Roman" w:eastAsia="宋体" w:cs="宋体"/>
      <w:b/>
      <w:bCs/>
      <w:color w:val="000000"/>
      <w:kern w:val="0"/>
      <w:sz w:val="24"/>
      <w:szCs w:val="24"/>
    </w:rPr>
  </w:style>
  <w:style w:type="paragraph" w:customStyle="1" w:styleId="218">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Times New Roman" w:eastAsia="宋体" w:cs="宋体"/>
      <w:color w:val="000000"/>
      <w:kern w:val="0"/>
      <w:sz w:val="24"/>
      <w:szCs w:val="24"/>
    </w:rPr>
  </w:style>
  <w:style w:type="paragraph" w:customStyle="1" w:styleId="219">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left"/>
      <w:textAlignment w:val="center"/>
    </w:pPr>
    <w:rPr>
      <w:rFonts w:ascii="宋体" w:hAnsi="Times New Roman" w:eastAsia="宋体" w:cs="宋体"/>
      <w:color w:val="000000"/>
      <w:kern w:val="0"/>
      <w:sz w:val="24"/>
      <w:szCs w:val="24"/>
    </w:rPr>
  </w:style>
  <w:style w:type="paragraph" w:customStyle="1" w:styleId="220">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Times New Roman" w:eastAsia="宋体" w:cs="宋体"/>
      <w:b/>
      <w:bCs/>
      <w:color w:val="000000"/>
      <w:kern w:val="0"/>
      <w:sz w:val="24"/>
      <w:szCs w:val="24"/>
    </w:rPr>
  </w:style>
  <w:style w:type="paragraph" w:customStyle="1" w:styleId="221">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Times New Roman" w:eastAsia="宋体" w:cs="宋体"/>
      <w:color w:val="000000"/>
      <w:kern w:val="0"/>
      <w:sz w:val="24"/>
      <w:szCs w:val="24"/>
    </w:rPr>
  </w:style>
  <w:style w:type="paragraph" w:customStyle="1" w:styleId="222">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left"/>
      <w:textAlignment w:val="center"/>
    </w:pPr>
    <w:rPr>
      <w:rFonts w:ascii="宋体" w:hAnsi="Times New Roman" w:eastAsia="宋体" w:cs="宋体"/>
      <w:color w:val="000000"/>
      <w:kern w:val="0"/>
      <w:sz w:val="24"/>
      <w:szCs w:val="24"/>
    </w:rPr>
  </w:style>
  <w:style w:type="paragraph" w:customStyle="1" w:styleId="22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Times New Roman" w:eastAsia="宋体" w:cs="宋体"/>
      <w:color w:val="000000"/>
      <w:kern w:val="0"/>
      <w:sz w:val="24"/>
      <w:szCs w:val="24"/>
    </w:rPr>
  </w:style>
  <w:style w:type="paragraph" w:customStyle="1" w:styleId="22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pPr>
    <w:rPr>
      <w:rFonts w:ascii="宋体" w:hAnsi="Times New Roman" w:eastAsia="宋体" w:cs="宋体"/>
      <w:color w:val="000000"/>
      <w:kern w:val="0"/>
      <w:sz w:val="24"/>
      <w:szCs w:val="24"/>
    </w:rPr>
  </w:style>
  <w:style w:type="paragraph" w:customStyle="1" w:styleId="22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Times New Roman" w:eastAsia="宋体" w:cs="宋体"/>
      <w:b/>
      <w:bCs/>
      <w:color w:val="000000"/>
      <w:kern w:val="0"/>
      <w:sz w:val="24"/>
      <w:szCs w:val="24"/>
    </w:rPr>
  </w:style>
  <w:style w:type="paragraph" w:customStyle="1" w:styleId="22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Times New Roman" w:eastAsia="宋体" w:cs="宋体"/>
      <w:color w:val="000000"/>
      <w:kern w:val="0"/>
      <w:sz w:val="24"/>
      <w:szCs w:val="24"/>
    </w:rPr>
  </w:style>
  <w:style w:type="paragraph" w:customStyle="1" w:styleId="22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Times New Roman" w:eastAsia="宋体" w:cs="宋体"/>
      <w:color w:val="000000"/>
      <w:kern w:val="0"/>
      <w:sz w:val="24"/>
      <w:szCs w:val="24"/>
    </w:rPr>
  </w:style>
  <w:style w:type="paragraph" w:customStyle="1" w:styleId="22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pPr>
    <w:rPr>
      <w:rFonts w:ascii="宋体" w:hAnsi="Times New Roman" w:eastAsia="宋体" w:cs="宋体"/>
      <w:color w:val="000000"/>
      <w:kern w:val="0"/>
      <w:sz w:val="24"/>
      <w:szCs w:val="24"/>
    </w:rPr>
  </w:style>
  <w:style w:type="paragraph" w:customStyle="1" w:styleId="229">
    <w:name w:val="xl87"/>
    <w:basedOn w:val="1"/>
    <w:autoRedefine/>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Times New Roman" w:eastAsia="宋体" w:cs="宋体"/>
      <w:kern w:val="0"/>
      <w:sz w:val="24"/>
      <w:szCs w:val="24"/>
    </w:rPr>
  </w:style>
  <w:style w:type="paragraph" w:customStyle="1" w:styleId="23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Times New Roman" w:eastAsia="宋体" w:cs="宋体"/>
      <w:b/>
      <w:bCs/>
      <w:color w:val="000000"/>
      <w:kern w:val="0"/>
      <w:sz w:val="24"/>
      <w:szCs w:val="24"/>
    </w:rPr>
  </w:style>
  <w:style w:type="paragraph" w:customStyle="1" w:styleId="23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Times New Roman" w:eastAsia="宋体" w:cs="宋体"/>
      <w:b/>
      <w:bCs/>
      <w:color w:val="000000"/>
      <w:kern w:val="0"/>
      <w:sz w:val="24"/>
      <w:szCs w:val="24"/>
    </w:rPr>
  </w:style>
  <w:style w:type="paragraph" w:customStyle="1" w:styleId="232">
    <w:name w:val="Bulleted Items--Level 2"/>
    <w:basedOn w:val="1"/>
    <w:autoRedefine/>
    <w:qFormat/>
    <w:uiPriority w:val="0"/>
    <w:pPr>
      <w:widowControl/>
      <w:numPr>
        <w:ilvl w:val="0"/>
        <w:numId w:val="20"/>
      </w:numPr>
      <w:shd w:val="clear" w:color="auto" w:fill="FFFFFF"/>
      <w:tabs>
        <w:tab w:val="left" w:pos="426"/>
        <w:tab w:val="left" w:pos="1771"/>
        <w:tab w:val="left" w:pos="2520"/>
        <w:tab w:val="clear" w:pos="360"/>
      </w:tabs>
      <w:adjustRightInd w:val="0"/>
      <w:snapToGrid w:val="0"/>
      <w:spacing w:line="280" w:lineRule="exact"/>
      <w:ind w:left="2520" w:firstLine="0"/>
    </w:pPr>
    <w:rPr>
      <w:rFonts w:ascii="宋体" w:hAnsi="Times New Roman" w:eastAsia="宋体" w:cs="宋体"/>
      <w:color w:val="000000"/>
      <w:kern w:val="0"/>
      <w:sz w:val="22"/>
      <w:szCs w:val="20"/>
      <w:lang w:eastAsia="en-US"/>
    </w:rPr>
  </w:style>
  <w:style w:type="paragraph" w:customStyle="1" w:styleId="23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Times New Roman" w:eastAsia="仿宋_GB2312" w:cs="宋体"/>
      <w:kern w:val="0"/>
      <w:sz w:val="22"/>
    </w:rPr>
  </w:style>
  <w:style w:type="paragraph" w:customStyle="1" w:styleId="23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Times New Roman" w:eastAsia="仿宋_GB2312" w:cs="宋体"/>
      <w:color w:val="000000"/>
      <w:kern w:val="0"/>
      <w:sz w:val="22"/>
    </w:rPr>
  </w:style>
  <w:style w:type="paragraph" w:customStyle="1" w:styleId="235">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Times New Roman" w:eastAsia="仿宋_GB2312" w:cs="宋体"/>
      <w:kern w:val="0"/>
      <w:sz w:val="20"/>
      <w:szCs w:val="20"/>
    </w:rPr>
  </w:style>
  <w:style w:type="paragraph" w:customStyle="1" w:styleId="236">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kern w:val="0"/>
      <w:sz w:val="22"/>
    </w:rPr>
  </w:style>
  <w:style w:type="paragraph" w:customStyle="1" w:styleId="237">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2"/>
    </w:rPr>
  </w:style>
  <w:style w:type="paragraph" w:customStyle="1" w:styleId="238">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2"/>
    </w:rPr>
  </w:style>
  <w:style w:type="paragraph" w:customStyle="1" w:styleId="239">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2"/>
    </w:rPr>
  </w:style>
  <w:style w:type="paragraph" w:customStyle="1" w:styleId="240">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2"/>
    </w:rPr>
  </w:style>
  <w:style w:type="paragraph" w:customStyle="1" w:styleId="241">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2"/>
    </w:rPr>
  </w:style>
  <w:style w:type="paragraph" w:customStyle="1" w:styleId="242">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2"/>
    </w:rPr>
  </w:style>
  <w:style w:type="paragraph" w:customStyle="1" w:styleId="243">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Times New Roman" w:eastAsia="仿宋_GB2312" w:cs="宋体"/>
      <w:color w:val="FF0000"/>
      <w:kern w:val="0"/>
      <w:sz w:val="22"/>
    </w:rPr>
  </w:style>
  <w:style w:type="paragraph" w:customStyle="1" w:styleId="244">
    <w:name w:val="xl101"/>
    <w:basedOn w:val="1"/>
    <w:autoRedefine/>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Times New Roman" w:eastAsia="宋体" w:cs="宋体"/>
      <w:color w:val="FF0000"/>
      <w:kern w:val="0"/>
      <w:sz w:val="20"/>
      <w:szCs w:val="20"/>
    </w:rPr>
  </w:style>
  <w:style w:type="paragraph" w:customStyle="1" w:styleId="245">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tabs>
        <w:tab w:val="left" w:pos="426"/>
      </w:tabs>
      <w:adjustRightInd w:val="0"/>
      <w:snapToGrid w:val="0"/>
      <w:spacing w:beforeAutospacing="1" w:afterAutospacing="1" w:line="360" w:lineRule="auto"/>
      <w:jc w:val="left"/>
      <w:textAlignment w:val="center"/>
    </w:pPr>
    <w:rPr>
      <w:rFonts w:ascii="仿宋_GB2312" w:hAnsi="Times New Roman" w:eastAsia="仿宋_GB2312" w:cs="宋体"/>
      <w:color w:val="FF0000"/>
      <w:kern w:val="0"/>
      <w:sz w:val="22"/>
    </w:rPr>
  </w:style>
  <w:style w:type="paragraph" w:customStyle="1" w:styleId="246">
    <w:name w:val="xl103"/>
    <w:basedOn w:val="1"/>
    <w:autoRedefine/>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Times New Roman" w:eastAsia="宋体" w:cs="宋体"/>
      <w:color w:val="FF0000"/>
      <w:kern w:val="0"/>
      <w:sz w:val="22"/>
    </w:rPr>
  </w:style>
  <w:style w:type="paragraph" w:customStyle="1" w:styleId="247">
    <w:name w:val="xl104"/>
    <w:basedOn w:val="1"/>
    <w:autoRedefine/>
    <w:qFormat/>
    <w:uiPriority w:val="0"/>
    <w:pPr>
      <w:widowControl/>
      <w:shd w:val="clear" w:color="auto" w:fill="FFFFFF"/>
      <w:tabs>
        <w:tab w:val="left" w:pos="426"/>
      </w:tabs>
      <w:adjustRightInd w:val="0"/>
      <w:snapToGrid w:val="0"/>
      <w:spacing w:beforeAutospacing="1" w:afterAutospacing="1" w:line="360" w:lineRule="auto"/>
      <w:jc w:val="center"/>
    </w:pPr>
    <w:rPr>
      <w:rFonts w:ascii="宋体" w:hAnsi="Times New Roman" w:eastAsia="宋体" w:cs="宋体"/>
      <w:kern w:val="0"/>
      <w:sz w:val="24"/>
      <w:szCs w:val="24"/>
    </w:rPr>
  </w:style>
  <w:style w:type="paragraph" w:customStyle="1" w:styleId="248">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b/>
      <w:bCs/>
      <w:kern w:val="0"/>
      <w:sz w:val="18"/>
      <w:szCs w:val="18"/>
    </w:rPr>
  </w:style>
  <w:style w:type="paragraph" w:customStyle="1" w:styleId="249">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50">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51">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Courier New" w:hAnsi="Courier New" w:eastAsia="宋体" w:cs="Courier New"/>
      <w:kern w:val="0"/>
      <w:sz w:val="22"/>
    </w:rPr>
  </w:style>
  <w:style w:type="paragraph" w:customStyle="1" w:styleId="252">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color w:val="FF0000"/>
      <w:kern w:val="0"/>
      <w:sz w:val="22"/>
    </w:rPr>
  </w:style>
  <w:style w:type="paragraph" w:customStyle="1" w:styleId="253">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color w:val="000000"/>
      <w:kern w:val="0"/>
      <w:sz w:val="22"/>
    </w:rPr>
  </w:style>
  <w:style w:type="paragraph" w:customStyle="1" w:styleId="254">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kern w:val="0"/>
      <w:sz w:val="22"/>
    </w:rPr>
  </w:style>
  <w:style w:type="paragraph" w:customStyle="1" w:styleId="255">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Times New Roman" w:eastAsia="宋体" w:cs="宋体"/>
      <w:color w:val="FF0000"/>
      <w:kern w:val="0"/>
      <w:sz w:val="20"/>
      <w:szCs w:val="20"/>
    </w:rPr>
  </w:style>
  <w:style w:type="paragraph" w:customStyle="1" w:styleId="256">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0"/>
      <w:szCs w:val="20"/>
    </w:rPr>
  </w:style>
  <w:style w:type="paragraph" w:customStyle="1" w:styleId="25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kern w:val="0"/>
      <w:sz w:val="22"/>
    </w:rPr>
  </w:style>
  <w:style w:type="paragraph" w:customStyle="1" w:styleId="258">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color w:val="FF0000"/>
      <w:kern w:val="0"/>
      <w:sz w:val="22"/>
    </w:rPr>
  </w:style>
  <w:style w:type="paragraph" w:customStyle="1" w:styleId="259">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color w:val="FF0000"/>
      <w:kern w:val="0"/>
      <w:sz w:val="22"/>
    </w:rPr>
  </w:style>
  <w:style w:type="paragraph" w:customStyle="1" w:styleId="260">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color w:val="FF0000"/>
      <w:kern w:val="0"/>
      <w:sz w:val="22"/>
    </w:rPr>
  </w:style>
  <w:style w:type="paragraph" w:customStyle="1" w:styleId="261">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Times New Roman" w:eastAsia="宋体" w:cs="宋体"/>
      <w:color w:val="FF0000"/>
      <w:kern w:val="0"/>
      <w:sz w:val="20"/>
      <w:szCs w:val="20"/>
    </w:rPr>
  </w:style>
  <w:style w:type="paragraph" w:customStyle="1" w:styleId="262">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kern w:val="0"/>
      <w:sz w:val="22"/>
    </w:rPr>
  </w:style>
  <w:style w:type="paragraph" w:customStyle="1" w:styleId="263">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Times New Roman" w:eastAsia="仿宋_GB2312" w:cs="宋体"/>
      <w:kern w:val="0"/>
      <w:sz w:val="22"/>
    </w:rPr>
  </w:style>
  <w:style w:type="paragraph" w:customStyle="1" w:styleId="264">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65">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kern w:val="0"/>
      <w:sz w:val="22"/>
    </w:rPr>
  </w:style>
  <w:style w:type="paragraph" w:customStyle="1" w:styleId="266">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kern w:val="0"/>
      <w:sz w:val="22"/>
    </w:rPr>
  </w:style>
  <w:style w:type="paragraph" w:customStyle="1" w:styleId="267">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Times New Roman" w:eastAsia="仿宋_GB2312" w:cs="宋体"/>
      <w:kern w:val="0"/>
      <w:sz w:val="24"/>
      <w:szCs w:val="24"/>
    </w:rPr>
  </w:style>
  <w:style w:type="paragraph" w:customStyle="1" w:styleId="268">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2"/>
    </w:rPr>
  </w:style>
  <w:style w:type="paragraph" w:customStyle="1" w:styleId="269">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kern w:val="0"/>
      <w:sz w:val="22"/>
    </w:rPr>
  </w:style>
  <w:style w:type="paragraph" w:customStyle="1" w:styleId="270">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kern w:val="0"/>
      <w:sz w:val="22"/>
    </w:rPr>
  </w:style>
  <w:style w:type="paragraph" w:customStyle="1" w:styleId="271">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Times New Roman" w:eastAsia="宋体" w:cs="宋体"/>
      <w:kern w:val="0"/>
      <w:sz w:val="22"/>
    </w:rPr>
  </w:style>
  <w:style w:type="paragraph" w:customStyle="1" w:styleId="272">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Times New Roman" w:eastAsia="仿宋_GB2312" w:cs="宋体"/>
      <w:color w:val="FF0000"/>
      <w:kern w:val="0"/>
      <w:sz w:val="22"/>
    </w:rPr>
  </w:style>
  <w:style w:type="paragraph" w:customStyle="1" w:styleId="273">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Times New Roman" w:eastAsia="宋体" w:cs="宋体"/>
      <w:color w:val="FF0000"/>
      <w:kern w:val="0"/>
      <w:sz w:val="22"/>
    </w:rPr>
  </w:style>
  <w:style w:type="paragraph" w:customStyle="1" w:styleId="274">
    <w:name w:val="xl131"/>
    <w:basedOn w:val="1"/>
    <w:autoRedefine/>
    <w:qFormat/>
    <w:uiPriority w:val="0"/>
    <w:pPr>
      <w:widowControl/>
      <w:pBdr>
        <w:top w:val="single" w:color="auto" w:sz="4" w:space="0"/>
        <w:left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Times New Roman" w:eastAsia="黑体" w:cs="宋体"/>
      <w:b/>
      <w:bCs/>
      <w:kern w:val="0"/>
      <w:sz w:val="28"/>
      <w:szCs w:val="28"/>
    </w:rPr>
  </w:style>
  <w:style w:type="paragraph" w:customStyle="1" w:styleId="275">
    <w:name w:val="xl132"/>
    <w:basedOn w:val="1"/>
    <w:autoRedefine/>
    <w:qFormat/>
    <w:uiPriority w:val="0"/>
    <w:pPr>
      <w:widowControl/>
      <w:pBdr>
        <w:top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Times New Roman" w:eastAsia="黑体" w:cs="宋体"/>
      <w:b/>
      <w:bCs/>
      <w:kern w:val="0"/>
      <w:sz w:val="28"/>
      <w:szCs w:val="28"/>
    </w:rPr>
  </w:style>
  <w:style w:type="paragraph" w:customStyle="1" w:styleId="276">
    <w:name w:val="xl133"/>
    <w:basedOn w:val="1"/>
    <w:autoRedefine/>
    <w:qFormat/>
    <w:uiPriority w:val="0"/>
    <w:pPr>
      <w:widowControl/>
      <w:pBdr>
        <w:top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Times New Roman" w:eastAsia="黑体" w:cs="宋体"/>
      <w:b/>
      <w:bCs/>
      <w:kern w:val="0"/>
      <w:sz w:val="28"/>
      <w:szCs w:val="28"/>
    </w:rPr>
  </w:style>
  <w:style w:type="paragraph" w:customStyle="1" w:styleId="277">
    <w:name w:val="样式 首行缩进:  0 字符"/>
    <w:basedOn w:val="1"/>
    <w:autoRedefine/>
    <w:qFormat/>
    <w:uiPriority w:val="0"/>
    <w:pPr>
      <w:widowControl/>
      <w:shd w:val="clear" w:color="auto" w:fill="FFFFFF"/>
      <w:tabs>
        <w:tab w:val="left" w:pos="426"/>
      </w:tabs>
      <w:adjustRightInd w:val="0"/>
      <w:snapToGrid w:val="0"/>
      <w:spacing w:line="360" w:lineRule="auto"/>
      <w:ind w:firstLine="200" w:firstLineChars="200"/>
    </w:pPr>
    <w:rPr>
      <w:rFonts w:ascii="宋体" w:hAnsi="Times New Roman" w:eastAsia="宋体" w:cs="宋体"/>
      <w:kern w:val="0"/>
      <w:sz w:val="24"/>
      <w:szCs w:val="20"/>
    </w:rPr>
  </w:style>
  <w:style w:type="paragraph" w:customStyle="1" w:styleId="278">
    <w:name w:val="5"/>
    <w:basedOn w:val="1"/>
    <w:autoRedefine/>
    <w:qFormat/>
    <w:uiPriority w:val="0"/>
    <w:pPr>
      <w:widowControl/>
      <w:shd w:val="clear" w:color="auto" w:fill="FFFFFF"/>
      <w:tabs>
        <w:tab w:val="left" w:pos="426"/>
      </w:tabs>
      <w:adjustRightInd w:val="0"/>
      <w:snapToGrid w:val="0"/>
      <w:spacing w:line="360" w:lineRule="auto"/>
      <w:ind w:firstLine="200" w:firstLineChars="200"/>
      <w:jc w:val="left"/>
    </w:pPr>
    <w:rPr>
      <w:rFonts w:ascii="宋体" w:hAnsi="Times New Roman" w:eastAsia="宋体" w:cs="宋体"/>
      <w:kern w:val="0"/>
      <w:sz w:val="24"/>
      <w:szCs w:val="24"/>
    </w:rPr>
  </w:style>
  <w:style w:type="paragraph" w:customStyle="1" w:styleId="279">
    <w:name w:val="正文1"/>
    <w:link w:val="280"/>
    <w:autoRedefine/>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customStyle="1" w:styleId="280">
    <w:name w:val="正文1 Char Char"/>
    <w:link w:val="279"/>
    <w:autoRedefine/>
    <w:qFormat/>
    <w:uiPriority w:val="0"/>
    <w:rPr>
      <w:rFonts w:ascii="宋体" w:hAnsi="Times New Roman" w:eastAsia="宋体" w:cs="Times New Roman"/>
      <w:kern w:val="0"/>
      <w:sz w:val="28"/>
      <w:szCs w:val="20"/>
    </w:rPr>
  </w:style>
  <w:style w:type="paragraph" w:customStyle="1" w:styleId="281">
    <w:name w:val="附件标题"/>
    <w:basedOn w:val="1"/>
    <w:autoRedefine/>
    <w:qFormat/>
    <w:uiPriority w:val="0"/>
    <w:pPr>
      <w:widowControl/>
      <w:shd w:val="clear" w:color="auto" w:fill="FFFFFF"/>
      <w:tabs>
        <w:tab w:val="left" w:pos="426"/>
      </w:tabs>
      <w:adjustRightInd w:val="0"/>
      <w:snapToGrid w:val="0"/>
      <w:spacing w:line="360" w:lineRule="auto"/>
      <w:ind w:firstLine="200" w:firstLineChars="200"/>
      <w:jc w:val="center"/>
    </w:pPr>
    <w:rPr>
      <w:rFonts w:ascii="Arial" w:hAnsi="Arial" w:eastAsia="黑体" w:cs="宋体"/>
      <w:kern w:val="0"/>
      <w:sz w:val="24"/>
      <w:szCs w:val="24"/>
    </w:rPr>
  </w:style>
  <w:style w:type="paragraph" w:customStyle="1" w:styleId="282">
    <w:name w:val="附件(1)"/>
    <w:basedOn w:val="1"/>
    <w:autoRedefine/>
    <w:qFormat/>
    <w:uiPriority w:val="0"/>
    <w:pPr>
      <w:widowControl/>
      <w:numPr>
        <w:ilvl w:val="0"/>
        <w:numId w:val="21"/>
      </w:numPr>
      <w:shd w:val="clear" w:color="auto" w:fill="FFFFFF"/>
      <w:tabs>
        <w:tab w:val="left" w:pos="426"/>
      </w:tabs>
      <w:adjustRightInd w:val="0"/>
      <w:snapToGrid w:val="0"/>
      <w:spacing w:line="360" w:lineRule="auto"/>
      <w:ind w:left="0" w:firstLine="200" w:firstLineChars="200"/>
    </w:pPr>
    <w:rPr>
      <w:rFonts w:ascii="宋体" w:hAnsi="Times New Roman" w:eastAsia="宋体" w:cs="宋体"/>
      <w:kern w:val="0"/>
      <w:sz w:val="24"/>
      <w:szCs w:val="24"/>
    </w:rPr>
  </w:style>
  <w:style w:type="paragraph" w:customStyle="1" w:styleId="283">
    <w:name w:val="附件1."/>
    <w:basedOn w:val="3"/>
    <w:autoRedefine/>
    <w:qFormat/>
    <w:uiPriority w:val="0"/>
    <w:pPr>
      <w:tabs>
        <w:tab w:val="left" w:pos="360"/>
        <w:tab w:val="left" w:pos="420"/>
        <w:tab w:val="clear" w:pos="426"/>
      </w:tabs>
      <w:spacing w:before="0" w:after="0" w:line="360" w:lineRule="auto"/>
      <w:ind w:left="567" w:hanging="567"/>
      <w:jc w:val="both"/>
    </w:pPr>
    <w:rPr>
      <w:rFonts w:ascii="Times New Roman" w:eastAsia="宋体"/>
      <w:b/>
      <w:sz w:val="24"/>
      <w:szCs w:val="44"/>
    </w:rPr>
  </w:style>
  <w:style w:type="paragraph" w:customStyle="1" w:styleId="284">
    <w:name w:val="附件圈"/>
    <w:basedOn w:val="282"/>
    <w:autoRedefine/>
    <w:qFormat/>
    <w:uiPriority w:val="0"/>
    <w:pPr>
      <w:numPr>
        <w:numId w:val="0"/>
      </w:numPr>
      <w:tabs>
        <w:tab w:val="left" w:pos="420"/>
        <w:tab w:val="clear" w:pos="426"/>
      </w:tabs>
      <w:ind w:firstLine="200" w:firstLineChars="200"/>
    </w:pPr>
  </w:style>
  <w:style w:type="paragraph" w:customStyle="1" w:styleId="285">
    <w:name w:val="样式 标题 2H2Heading 2 HiddenHeading 2 CCBSheading 22nd levelh..."/>
    <w:basedOn w:val="5"/>
    <w:autoRedefine/>
    <w:qFormat/>
    <w:uiPriority w:val="0"/>
    <w:pPr>
      <w:snapToGrid w:val="0"/>
      <w:spacing w:before="120" w:after="120"/>
      <w:ind w:left="576" w:hanging="576"/>
      <w:jc w:val="left"/>
      <w:textAlignment w:val="auto"/>
    </w:pPr>
    <w:rPr>
      <w:rFonts w:ascii="Arial" w:hAnsi="Arial" w:eastAsia="黑体"/>
      <w:bCs/>
      <w:kern w:val="2"/>
      <w:sz w:val="28"/>
      <w:szCs w:val="28"/>
    </w:rPr>
  </w:style>
  <w:style w:type="paragraph" w:customStyle="1" w:styleId="286">
    <w:name w:val="样式 标题 2H2Heading 2 HiddenHeading 2 CCBSheading 22nd levelh...1"/>
    <w:basedOn w:val="5"/>
    <w:autoRedefine/>
    <w:qFormat/>
    <w:uiPriority w:val="0"/>
    <w:pPr>
      <w:snapToGrid w:val="0"/>
      <w:spacing w:before="240" w:after="240"/>
      <w:ind w:left="576" w:hanging="576"/>
      <w:jc w:val="left"/>
      <w:textAlignment w:val="auto"/>
    </w:pPr>
    <w:rPr>
      <w:bCs/>
      <w:kern w:val="2"/>
      <w:sz w:val="28"/>
      <w:szCs w:val="28"/>
    </w:rPr>
  </w:style>
  <w:style w:type="paragraph" w:customStyle="1" w:styleId="287">
    <w:name w:val="CM51"/>
    <w:basedOn w:val="167"/>
    <w:next w:val="167"/>
    <w:autoRedefine/>
    <w:qFormat/>
    <w:uiPriority w:val="0"/>
    <w:pPr>
      <w:spacing w:after="103"/>
    </w:pPr>
    <w:rPr>
      <w:rFonts w:ascii="黑体" w:eastAsia="黑体"/>
      <w:color w:val="auto"/>
    </w:rPr>
  </w:style>
  <w:style w:type="paragraph" w:customStyle="1" w:styleId="288">
    <w:name w:val="pan"/>
    <w:basedOn w:val="165"/>
    <w:autoRedefine/>
    <w:qFormat/>
    <w:uiPriority w:val="0"/>
    <w:pPr>
      <w:numPr>
        <w:ilvl w:val="0"/>
        <w:numId w:val="22"/>
      </w:numPr>
      <w:tabs>
        <w:tab w:val="left" w:pos="840"/>
      </w:tabs>
      <w:ind w:left="840" w:hanging="420" w:firstLineChars="0"/>
      <w:outlineLvl w:val="0"/>
    </w:pPr>
    <w:rPr>
      <w:rFonts w:ascii="黑体" w:eastAsia="黑体"/>
      <w:sz w:val="32"/>
      <w:szCs w:val="32"/>
    </w:rPr>
  </w:style>
  <w:style w:type="paragraph" w:customStyle="1" w:styleId="289">
    <w:name w:val="pan2"/>
    <w:basedOn w:val="165"/>
    <w:autoRedefine/>
    <w:qFormat/>
    <w:uiPriority w:val="0"/>
    <w:pPr>
      <w:numPr>
        <w:ilvl w:val="1"/>
        <w:numId w:val="22"/>
      </w:numPr>
      <w:tabs>
        <w:tab w:val="left" w:pos="840"/>
      </w:tabs>
      <w:ind w:left="840" w:hanging="420" w:firstLineChars="0"/>
      <w:outlineLvl w:val="1"/>
    </w:pPr>
    <w:rPr>
      <w:rFonts w:ascii="黑体" w:eastAsia="黑体"/>
      <w:sz w:val="30"/>
      <w:szCs w:val="30"/>
    </w:rPr>
  </w:style>
  <w:style w:type="paragraph" w:customStyle="1" w:styleId="290">
    <w:name w:val="pan3"/>
    <w:basedOn w:val="165"/>
    <w:autoRedefine/>
    <w:qFormat/>
    <w:uiPriority w:val="0"/>
    <w:pPr>
      <w:numPr>
        <w:ilvl w:val="2"/>
        <w:numId w:val="22"/>
      </w:numPr>
      <w:tabs>
        <w:tab w:val="left" w:pos="1260"/>
      </w:tabs>
      <w:ind w:left="1260" w:hanging="420" w:firstLineChars="0"/>
      <w:outlineLvl w:val="2"/>
    </w:pPr>
    <w:rPr>
      <w:rFonts w:ascii="黑体" w:eastAsia="黑体"/>
      <w:sz w:val="28"/>
      <w:szCs w:val="28"/>
    </w:rPr>
  </w:style>
  <w:style w:type="paragraph" w:customStyle="1" w:styleId="291">
    <w:name w:val="pan4"/>
    <w:basedOn w:val="165"/>
    <w:autoRedefine/>
    <w:qFormat/>
    <w:uiPriority w:val="0"/>
    <w:pPr>
      <w:numPr>
        <w:ilvl w:val="3"/>
        <w:numId w:val="22"/>
      </w:numPr>
      <w:tabs>
        <w:tab w:val="left" w:pos="1680"/>
      </w:tabs>
      <w:ind w:left="1680" w:hanging="420" w:firstLineChars="0"/>
      <w:outlineLvl w:val="3"/>
    </w:pPr>
    <w:rPr>
      <w:rFonts w:ascii="黑体" w:eastAsia="黑体"/>
      <w:sz w:val="28"/>
      <w:szCs w:val="28"/>
    </w:rPr>
  </w:style>
  <w:style w:type="paragraph" w:customStyle="1" w:styleId="292">
    <w:name w:val="pan5"/>
    <w:basedOn w:val="165"/>
    <w:autoRedefine/>
    <w:qFormat/>
    <w:uiPriority w:val="0"/>
    <w:pPr>
      <w:numPr>
        <w:ilvl w:val="4"/>
        <w:numId w:val="22"/>
      </w:numPr>
      <w:tabs>
        <w:tab w:val="left" w:pos="1008"/>
      </w:tabs>
      <w:ind w:left="1008" w:hanging="1008" w:firstLineChars="0"/>
      <w:outlineLvl w:val="4"/>
    </w:pPr>
    <w:rPr>
      <w:rFonts w:ascii="黑体" w:eastAsia="黑体"/>
      <w:sz w:val="24"/>
    </w:rPr>
  </w:style>
  <w:style w:type="paragraph" w:customStyle="1" w:styleId="293">
    <w:name w:val="一级标题"/>
    <w:basedOn w:val="165"/>
    <w:autoRedefine/>
    <w:qFormat/>
    <w:uiPriority w:val="0"/>
    <w:pPr>
      <w:numPr>
        <w:ilvl w:val="0"/>
        <w:numId w:val="23"/>
      </w:numPr>
      <w:spacing w:line="720" w:lineRule="auto"/>
      <w:ind w:firstLineChars="0"/>
      <w:jc w:val="center"/>
      <w:outlineLvl w:val="0"/>
    </w:pPr>
    <w:rPr>
      <w:rFonts w:ascii="黑体" w:eastAsia="黑体"/>
      <w:sz w:val="44"/>
      <w:szCs w:val="44"/>
    </w:rPr>
  </w:style>
  <w:style w:type="paragraph" w:customStyle="1" w:styleId="294">
    <w:name w:val="二级标题"/>
    <w:basedOn w:val="165"/>
    <w:autoRedefine/>
    <w:qFormat/>
    <w:uiPriority w:val="0"/>
    <w:pPr>
      <w:numPr>
        <w:ilvl w:val="1"/>
        <w:numId w:val="23"/>
      </w:numPr>
      <w:spacing w:line="720" w:lineRule="auto"/>
      <w:ind w:firstLineChars="0"/>
      <w:outlineLvl w:val="1"/>
    </w:pPr>
    <w:rPr>
      <w:rFonts w:ascii="黑体" w:eastAsia="黑体"/>
      <w:sz w:val="36"/>
      <w:szCs w:val="36"/>
    </w:rPr>
  </w:style>
  <w:style w:type="paragraph" w:customStyle="1" w:styleId="295">
    <w:name w:val="三级标题"/>
    <w:basedOn w:val="165"/>
    <w:autoRedefine/>
    <w:qFormat/>
    <w:uiPriority w:val="0"/>
    <w:pPr>
      <w:numPr>
        <w:ilvl w:val="2"/>
        <w:numId w:val="23"/>
      </w:numPr>
      <w:spacing w:line="720" w:lineRule="auto"/>
      <w:ind w:firstLineChars="0"/>
      <w:outlineLvl w:val="2"/>
    </w:pPr>
    <w:rPr>
      <w:rFonts w:ascii="黑体" w:eastAsia="黑体"/>
      <w:sz w:val="32"/>
      <w:szCs w:val="32"/>
    </w:rPr>
  </w:style>
  <w:style w:type="paragraph" w:customStyle="1" w:styleId="296">
    <w:name w:val="四级标题"/>
    <w:basedOn w:val="165"/>
    <w:autoRedefine/>
    <w:qFormat/>
    <w:uiPriority w:val="0"/>
    <w:pPr>
      <w:numPr>
        <w:ilvl w:val="3"/>
        <w:numId w:val="23"/>
      </w:numPr>
      <w:spacing w:line="720" w:lineRule="auto"/>
      <w:ind w:firstLineChars="0"/>
      <w:outlineLvl w:val="3"/>
    </w:pPr>
    <w:rPr>
      <w:rFonts w:ascii="黑体" w:eastAsia="黑体"/>
      <w:sz w:val="30"/>
      <w:szCs w:val="30"/>
    </w:rPr>
  </w:style>
  <w:style w:type="paragraph" w:customStyle="1" w:styleId="297">
    <w:name w:val="五级标题"/>
    <w:basedOn w:val="165"/>
    <w:autoRedefine/>
    <w:qFormat/>
    <w:uiPriority w:val="0"/>
    <w:pPr>
      <w:numPr>
        <w:ilvl w:val="4"/>
        <w:numId w:val="23"/>
      </w:numPr>
      <w:spacing w:line="720" w:lineRule="auto"/>
      <w:ind w:firstLineChars="0"/>
      <w:outlineLvl w:val="4"/>
    </w:pPr>
    <w:rPr>
      <w:rFonts w:ascii="黑体" w:eastAsia="黑体"/>
      <w:sz w:val="28"/>
      <w:szCs w:val="28"/>
    </w:rPr>
  </w:style>
  <w:style w:type="paragraph" w:customStyle="1" w:styleId="298">
    <w:name w:val="图片"/>
    <w:basedOn w:val="1"/>
    <w:autoRedefine/>
    <w:qFormat/>
    <w:uiPriority w:val="0"/>
    <w:pPr>
      <w:widowControl/>
      <w:shd w:val="clear" w:color="auto" w:fill="FFFFFF"/>
      <w:tabs>
        <w:tab w:val="left" w:pos="426"/>
      </w:tabs>
      <w:adjustRightInd w:val="0"/>
      <w:snapToGrid w:val="0"/>
      <w:spacing w:line="360" w:lineRule="auto"/>
      <w:ind w:firstLine="200" w:firstLineChars="200"/>
      <w:jc w:val="center"/>
    </w:pPr>
    <w:rPr>
      <w:rFonts w:ascii="宋体" w:hAnsi="Times New Roman" w:eastAsia="宋体" w:cs="Times New Roman"/>
      <w:sz w:val="24"/>
      <w:szCs w:val="24"/>
    </w:rPr>
  </w:style>
  <w:style w:type="paragraph" w:customStyle="1" w:styleId="299">
    <w:name w:val="图片注释"/>
    <w:basedOn w:val="1"/>
    <w:autoRedefine/>
    <w:qFormat/>
    <w:uiPriority w:val="0"/>
    <w:pPr>
      <w:widowControl/>
      <w:shd w:val="clear" w:color="auto" w:fill="FFFFFF"/>
      <w:tabs>
        <w:tab w:val="left" w:pos="426"/>
      </w:tabs>
      <w:adjustRightInd w:val="0"/>
      <w:snapToGrid w:val="0"/>
      <w:spacing w:afterLines="25" w:line="360" w:lineRule="auto"/>
      <w:ind w:firstLine="200" w:firstLineChars="200"/>
      <w:jc w:val="center"/>
    </w:pPr>
    <w:rPr>
      <w:rFonts w:ascii="宋体" w:hAnsi="Times New Roman" w:eastAsia="宋体" w:cs="Times New Roman"/>
      <w:sz w:val="24"/>
      <w:szCs w:val="24"/>
      <w:u w:val="single"/>
    </w:rPr>
  </w:style>
  <w:style w:type="paragraph" w:customStyle="1" w:styleId="300">
    <w:name w:val="段内层标"/>
    <w:basedOn w:val="204"/>
    <w:autoRedefine/>
    <w:qFormat/>
    <w:uiPriority w:val="0"/>
    <w:pPr>
      <w:numPr>
        <w:ilvl w:val="0"/>
        <w:numId w:val="24"/>
      </w:numPr>
      <w:spacing w:beforeLines="25" w:afterLines="25"/>
      <w:ind w:left="0" w:firstLine="200" w:firstLineChars="200"/>
    </w:pPr>
    <w:rPr>
      <w:rFonts w:ascii="宋体"/>
      <w:b/>
      <w:kern w:val="2"/>
      <w:sz w:val="28"/>
      <w:szCs w:val="28"/>
    </w:rPr>
  </w:style>
  <w:style w:type="paragraph" w:customStyle="1" w:styleId="301">
    <w:name w:val="方案设计1级标题"/>
    <w:basedOn w:val="165"/>
    <w:autoRedefine/>
    <w:qFormat/>
    <w:uiPriority w:val="0"/>
    <w:pPr>
      <w:tabs>
        <w:tab w:val="left" w:pos="840"/>
      </w:tabs>
      <w:ind w:left="840" w:firstLine="0" w:firstLineChars="0"/>
      <w:jc w:val="center"/>
      <w:outlineLvl w:val="0"/>
    </w:pPr>
    <w:rPr>
      <w:rFonts w:ascii="黑体" w:eastAsia="黑体"/>
      <w:sz w:val="44"/>
      <w:szCs w:val="44"/>
    </w:rPr>
  </w:style>
  <w:style w:type="paragraph" w:customStyle="1" w:styleId="302">
    <w:name w:val="方案设计2级标题"/>
    <w:basedOn w:val="165"/>
    <w:autoRedefine/>
    <w:qFormat/>
    <w:uiPriority w:val="0"/>
    <w:pPr>
      <w:numPr>
        <w:ilvl w:val="1"/>
        <w:numId w:val="25"/>
      </w:numPr>
      <w:ind w:firstLine="0" w:firstLineChars="0"/>
      <w:outlineLvl w:val="1"/>
    </w:pPr>
    <w:rPr>
      <w:rFonts w:ascii="黑体" w:eastAsia="黑体"/>
      <w:sz w:val="32"/>
      <w:szCs w:val="32"/>
    </w:rPr>
  </w:style>
  <w:style w:type="paragraph" w:customStyle="1" w:styleId="303">
    <w:name w:val="标题3"/>
    <w:basedOn w:val="165"/>
    <w:autoRedefine/>
    <w:qFormat/>
    <w:uiPriority w:val="0"/>
    <w:pPr>
      <w:numPr>
        <w:ilvl w:val="2"/>
        <w:numId w:val="25"/>
      </w:numPr>
      <w:ind w:firstLine="0" w:firstLineChars="0"/>
      <w:outlineLvl w:val="2"/>
    </w:pPr>
    <w:rPr>
      <w:rFonts w:ascii="黑体" w:eastAsia="黑体"/>
      <w:sz w:val="28"/>
      <w:szCs w:val="28"/>
    </w:rPr>
  </w:style>
  <w:style w:type="paragraph" w:customStyle="1" w:styleId="304">
    <w:name w:val="标题5"/>
    <w:basedOn w:val="165"/>
    <w:autoRedefine/>
    <w:qFormat/>
    <w:uiPriority w:val="0"/>
    <w:pPr>
      <w:tabs>
        <w:tab w:val="left" w:pos="2038"/>
      </w:tabs>
      <w:ind w:left="2038" w:hanging="420" w:firstLineChars="0"/>
      <w:jc w:val="left"/>
      <w:outlineLvl w:val="4"/>
    </w:pPr>
    <w:rPr>
      <w:rFonts w:ascii="黑体" w:eastAsia="黑体"/>
      <w:sz w:val="28"/>
      <w:szCs w:val="28"/>
    </w:rPr>
  </w:style>
  <w:style w:type="paragraph" w:customStyle="1" w:styleId="305">
    <w:name w:val="正文标题"/>
    <w:basedOn w:val="1"/>
    <w:autoRedefine/>
    <w:qFormat/>
    <w:uiPriority w:val="0"/>
    <w:pPr>
      <w:widowControl/>
      <w:numPr>
        <w:ilvl w:val="0"/>
        <w:numId w:val="25"/>
      </w:numPr>
      <w:shd w:val="clear" w:color="auto" w:fill="FFFFFF"/>
      <w:tabs>
        <w:tab w:val="left" w:pos="426"/>
      </w:tabs>
      <w:adjustRightInd w:val="0"/>
      <w:snapToGrid w:val="0"/>
      <w:spacing w:line="360" w:lineRule="auto"/>
      <w:ind w:left="0" w:firstLine="200" w:firstLineChars="200"/>
    </w:pPr>
    <w:rPr>
      <w:rFonts w:ascii="Calibri" w:hAnsi="Calibri" w:eastAsia="宋体" w:cs="Times New Roman"/>
      <w:b/>
      <w:sz w:val="28"/>
      <w:szCs w:val="28"/>
    </w:rPr>
  </w:style>
  <w:style w:type="paragraph" w:customStyle="1" w:styleId="306">
    <w:name w:val="样式 Verdana 四号 首行缩进:  2 字符"/>
    <w:basedOn w:val="1"/>
    <w:autoRedefine/>
    <w:qFormat/>
    <w:uiPriority w:val="0"/>
    <w:pPr>
      <w:widowControl/>
      <w:shd w:val="clear" w:color="auto" w:fill="FFFFFF"/>
      <w:tabs>
        <w:tab w:val="left" w:pos="426"/>
      </w:tabs>
      <w:adjustRightInd w:val="0"/>
      <w:snapToGrid w:val="0"/>
      <w:spacing w:line="360" w:lineRule="auto"/>
      <w:ind w:firstLine="200" w:firstLineChars="200"/>
      <w:jc w:val="left"/>
    </w:pPr>
    <w:rPr>
      <w:rFonts w:ascii="Verdana" w:hAnsi="Verdana" w:eastAsia="宋体" w:cs="宋体"/>
      <w:kern w:val="0"/>
      <w:sz w:val="24"/>
      <w:szCs w:val="20"/>
    </w:rPr>
  </w:style>
  <w:style w:type="paragraph" w:customStyle="1" w:styleId="307">
    <w:name w:val="层标"/>
    <w:basedOn w:val="204"/>
    <w:autoRedefine/>
    <w:qFormat/>
    <w:uiPriority w:val="0"/>
    <w:pPr>
      <w:numPr>
        <w:ilvl w:val="0"/>
        <w:numId w:val="26"/>
      </w:numPr>
      <w:spacing w:beforeLines="25" w:afterLines="25"/>
      <w:ind w:left="0" w:firstLine="0"/>
    </w:pPr>
    <w:rPr>
      <w:rFonts w:ascii="宋体"/>
      <w:b/>
      <w:kern w:val="2"/>
      <w:sz w:val="28"/>
      <w:szCs w:val="28"/>
    </w:rPr>
  </w:style>
  <w:style w:type="paragraph" w:styleId="308">
    <w:name w:val="Quote"/>
    <w:basedOn w:val="1"/>
    <w:next w:val="1"/>
    <w:link w:val="309"/>
    <w:autoRedefine/>
    <w:qFormat/>
    <w:uiPriority w:val="0"/>
    <w:pPr>
      <w:widowControl/>
      <w:shd w:val="clear" w:color="auto" w:fill="FFFFFF"/>
      <w:tabs>
        <w:tab w:val="left" w:pos="426"/>
      </w:tabs>
      <w:adjustRightInd w:val="0"/>
      <w:snapToGrid w:val="0"/>
      <w:spacing w:line="360" w:lineRule="auto"/>
      <w:jc w:val="center"/>
    </w:pPr>
    <w:rPr>
      <w:rFonts w:ascii="Times New Roman" w:hAnsi="Times New Roman" w:eastAsia="宋体" w:cs="Times New Roman"/>
      <w:iCs/>
      <w:color w:val="000000"/>
      <w:sz w:val="24"/>
      <w:szCs w:val="24"/>
    </w:rPr>
  </w:style>
  <w:style w:type="character" w:customStyle="1" w:styleId="309">
    <w:name w:val="引用 字符"/>
    <w:basedOn w:val="88"/>
    <w:link w:val="308"/>
    <w:qFormat/>
    <w:uiPriority w:val="0"/>
    <w:rPr>
      <w:rFonts w:ascii="Times New Roman" w:hAnsi="Times New Roman" w:eastAsia="宋体" w:cs="Times New Roman"/>
      <w:iCs/>
      <w:color w:val="000000"/>
      <w:sz w:val="24"/>
      <w:szCs w:val="24"/>
      <w:shd w:val="clear" w:color="auto" w:fill="FFFFFF"/>
    </w:rPr>
  </w:style>
  <w:style w:type="character" w:customStyle="1" w:styleId="310">
    <w:name w:val="明显参考1"/>
    <w:autoRedefine/>
    <w:qFormat/>
    <w:uiPriority w:val="0"/>
    <w:rPr>
      <w:rFonts w:eastAsia="宋体"/>
      <w:bCs/>
      <w:smallCaps/>
      <w:color w:val="000000"/>
      <w:spacing w:val="5"/>
      <w:sz w:val="24"/>
      <w:u w:val="single"/>
    </w:rPr>
  </w:style>
  <w:style w:type="paragraph" w:customStyle="1" w:styleId="311">
    <w:name w:val="段落强调"/>
    <w:basedOn w:val="1"/>
    <w:autoRedefine/>
    <w:qFormat/>
    <w:uiPriority w:val="0"/>
    <w:pPr>
      <w:widowControl/>
      <w:numPr>
        <w:ilvl w:val="0"/>
        <w:numId w:val="27"/>
      </w:numPr>
      <w:shd w:val="clear" w:color="auto" w:fill="FFFFFF"/>
      <w:tabs>
        <w:tab w:val="left" w:pos="426"/>
      </w:tabs>
      <w:adjustRightInd w:val="0"/>
      <w:snapToGrid w:val="0"/>
      <w:spacing w:line="360" w:lineRule="auto"/>
      <w:ind w:left="0" w:firstLine="420"/>
    </w:pPr>
    <w:rPr>
      <w:rFonts w:ascii="Times New Roman" w:hAnsi="Times New Roman" w:eastAsia="宋体" w:cs="Times New Roman"/>
      <w:b/>
      <w:sz w:val="24"/>
      <w:szCs w:val="24"/>
    </w:rPr>
  </w:style>
  <w:style w:type="character" w:customStyle="1" w:styleId="312">
    <w:name w:val="书籍标题1"/>
    <w:autoRedefine/>
    <w:qFormat/>
    <w:uiPriority w:val="0"/>
    <w:rPr>
      <w:b/>
      <w:bCs/>
      <w:smallCaps/>
      <w:spacing w:val="5"/>
    </w:rPr>
  </w:style>
  <w:style w:type="paragraph" w:customStyle="1" w:styleId="313">
    <w:name w:val="段内主题"/>
    <w:basedOn w:val="1"/>
    <w:autoRedefine/>
    <w:qFormat/>
    <w:uiPriority w:val="0"/>
    <w:pPr>
      <w:widowControl/>
      <w:numPr>
        <w:ilvl w:val="1"/>
        <w:numId w:val="28"/>
      </w:numPr>
      <w:shd w:val="clear" w:color="auto" w:fill="FFFFFF"/>
      <w:tabs>
        <w:tab w:val="left" w:pos="426"/>
      </w:tabs>
      <w:adjustRightInd w:val="0"/>
      <w:snapToGrid w:val="0"/>
      <w:spacing w:line="360" w:lineRule="auto"/>
      <w:ind w:firstLine="0"/>
    </w:pPr>
    <w:rPr>
      <w:rFonts w:ascii="宋体" w:hAnsi="Times New Roman" w:eastAsia="宋体" w:cs="Times New Roman"/>
      <w:b/>
      <w:sz w:val="24"/>
      <w:szCs w:val="24"/>
    </w:rPr>
  </w:style>
  <w:style w:type="paragraph" w:customStyle="1" w:styleId="314">
    <w:name w:val="图片注释新"/>
    <w:basedOn w:val="299"/>
    <w:autoRedefine/>
    <w:qFormat/>
    <w:uiPriority w:val="0"/>
    <w:pPr>
      <w:spacing w:afterLines="0"/>
      <w:ind w:firstLine="0" w:firstLineChars="0"/>
    </w:pPr>
  </w:style>
  <w:style w:type="paragraph" w:customStyle="1" w:styleId="315">
    <w:name w:val="正文（缩进）"/>
    <w:basedOn w:val="1"/>
    <w:autoRedefine/>
    <w:qFormat/>
    <w:uiPriority w:val="0"/>
    <w:pPr>
      <w:widowControl/>
      <w:shd w:val="clear" w:color="auto" w:fill="FFFFFF"/>
      <w:tabs>
        <w:tab w:val="left" w:pos="426"/>
      </w:tabs>
      <w:adjustRightInd w:val="0"/>
      <w:snapToGrid w:val="0"/>
      <w:spacing w:beforeLines="50" w:afterLines="50" w:line="360" w:lineRule="auto"/>
      <w:ind w:firstLine="200" w:firstLineChars="200"/>
    </w:pPr>
    <w:rPr>
      <w:rFonts w:ascii="Times New Roman" w:hAnsi="Times New Roman" w:eastAsia="宋体" w:cs="Times New Roman"/>
      <w:kern w:val="0"/>
      <w:sz w:val="24"/>
      <w:szCs w:val="24"/>
    </w:rPr>
  </w:style>
  <w:style w:type="character" w:customStyle="1" w:styleId="316">
    <w:name w:val="Char Char4"/>
    <w:autoRedefine/>
    <w:qFormat/>
    <w:uiPriority w:val="0"/>
    <w:rPr>
      <w:rFonts w:eastAsia="宋体"/>
      <w:b/>
      <w:kern w:val="2"/>
      <w:sz w:val="24"/>
      <w:lang w:val="en-US" w:eastAsia="zh-CN" w:bidi="ar-SA"/>
    </w:rPr>
  </w:style>
  <w:style w:type="paragraph" w:customStyle="1" w:styleId="317">
    <w:name w:val="Char5 Char Char Char Char Char Char"/>
    <w:basedOn w:val="1"/>
    <w:autoRedefine/>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318">
    <w:name w:val="pa-2"/>
    <w:basedOn w:val="1"/>
    <w:autoRedefine/>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Times New Roman" w:eastAsia="宋体" w:cs="宋体"/>
      <w:kern w:val="0"/>
      <w:sz w:val="24"/>
      <w:szCs w:val="24"/>
    </w:rPr>
  </w:style>
  <w:style w:type="paragraph" w:customStyle="1" w:styleId="319">
    <w:name w:val="方案正文段落"/>
    <w:basedOn w:val="1"/>
    <w:autoRedefine/>
    <w:qFormat/>
    <w:uiPriority w:val="0"/>
    <w:pPr>
      <w:widowControl/>
      <w:shd w:val="clear" w:color="auto" w:fill="FFFFFF"/>
      <w:tabs>
        <w:tab w:val="left" w:pos="426"/>
      </w:tabs>
      <w:adjustRightInd w:val="0"/>
      <w:snapToGrid w:val="0"/>
      <w:spacing w:line="360" w:lineRule="auto"/>
      <w:ind w:firstLine="200" w:firstLineChars="200"/>
    </w:pPr>
    <w:rPr>
      <w:rFonts w:ascii="Times New Roman" w:hAnsi="Times New Roman" w:eastAsia="宋体" w:cs="Times New Roman"/>
      <w:szCs w:val="20"/>
    </w:rPr>
  </w:style>
  <w:style w:type="paragraph" w:customStyle="1" w:styleId="320">
    <w:name w:val="修订1"/>
    <w:autoRedefine/>
    <w:qFormat/>
    <w:uiPriority w:val="0"/>
    <w:pPr>
      <w:spacing w:line="360" w:lineRule="auto"/>
      <w:jc w:val="both"/>
    </w:pPr>
    <w:rPr>
      <w:rFonts w:ascii="Times New Roman" w:hAnsi="Times New Roman" w:eastAsia="宋体" w:cs="Times New Roman"/>
      <w:kern w:val="2"/>
      <w:sz w:val="21"/>
      <w:szCs w:val="24"/>
      <w:lang w:val="en-US" w:eastAsia="zh-CN" w:bidi="ar-SA"/>
    </w:rPr>
  </w:style>
  <w:style w:type="paragraph" w:customStyle="1" w:styleId="321">
    <w:name w:val="模板正文"/>
    <w:basedOn w:val="1"/>
    <w:autoRedefine/>
    <w:qFormat/>
    <w:uiPriority w:val="0"/>
    <w:pPr>
      <w:wordWrap w:val="0"/>
      <w:spacing w:beforeLines="50" w:line="360" w:lineRule="auto"/>
      <w:ind w:firstLine="200" w:firstLineChars="200"/>
    </w:pPr>
    <w:rPr>
      <w:rFonts w:ascii="Times New Roman" w:hAnsi="Times New Roman" w:eastAsia="仿宋_GB2312" w:cs="Times New Roman"/>
      <w:kern w:val="0"/>
      <w:sz w:val="28"/>
      <w:szCs w:val="21"/>
    </w:rPr>
  </w:style>
  <w:style w:type="paragraph" w:styleId="322">
    <w:name w:val="List Paragraph"/>
    <w:basedOn w:val="1"/>
    <w:link w:val="323"/>
    <w:autoRedefine/>
    <w:qFormat/>
    <w:uiPriority w:val="0"/>
    <w:pPr>
      <w:spacing w:line="360" w:lineRule="auto"/>
      <w:ind w:firstLine="200" w:firstLineChars="200"/>
    </w:pPr>
    <w:rPr>
      <w:rFonts w:ascii="Times New Roman" w:hAnsi="Times New Roman" w:eastAsia="宋体" w:cs="Times New Roman"/>
      <w:sz w:val="24"/>
      <w:szCs w:val="24"/>
    </w:rPr>
  </w:style>
  <w:style w:type="character" w:customStyle="1" w:styleId="323">
    <w:name w:val="列表段落 字符"/>
    <w:link w:val="322"/>
    <w:autoRedefine/>
    <w:qFormat/>
    <w:uiPriority w:val="0"/>
    <w:rPr>
      <w:rFonts w:ascii="Times New Roman" w:hAnsi="Times New Roman" w:eastAsia="宋体" w:cs="Times New Roman"/>
      <w:sz w:val="24"/>
      <w:szCs w:val="24"/>
    </w:rPr>
  </w:style>
  <w:style w:type="paragraph" w:customStyle="1" w:styleId="324">
    <w:name w:val="普通段落"/>
    <w:autoRedefine/>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325">
    <w:name w:val="表格正文"/>
    <w:basedOn w:val="1"/>
    <w:autoRedefine/>
    <w:qFormat/>
    <w:uiPriority w:val="0"/>
    <w:pPr>
      <w:spacing w:line="360" w:lineRule="auto"/>
      <w:ind w:firstLine="200" w:firstLineChars="200"/>
    </w:pPr>
    <w:rPr>
      <w:rFonts w:ascii="Arial" w:hAnsi="Arial" w:eastAsia="仿宋_GB2312" w:cs="Times New Roman"/>
      <w:sz w:val="24"/>
    </w:rPr>
  </w:style>
  <w:style w:type="paragraph" w:customStyle="1" w:styleId="326">
    <w:name w:val="USE 1"/>
    <w:basedOn w:val="1"/>
    <w:autoRedefine/>
    <w:qFormat/>
    <w:uiPriority w:val="0"/>
    <w:pPr>
      <w:spacing w:line="200" w:lineRule="atLeast"/>
    </w:pPr>
    <w:rPr>
      <w:rFonts w:ascii="宋体" w:hAnsi="Times New Roman" w:eastAsia="宋体" w:cs="Times New Roman"/>
      <w:b/>
      <w:sz w:val="24"/>
      <w:szCs w:val="28"/>
    </w:rPr>
  </w:style>
  <w:style w:type="character" w:customStyle="1" w:styleId="327">
    <w:name w:val="标题 1 字符1"/>
    <w:autoRedefine/>
    <w:qFormat/>
    <w:uiPriority w:val="0"/>
    <w:rPr>
      <w:rFonts w:ascii="Times New Roman" w:hAnsi="Times New Roman" w:eastAsia="宋体" w:cs="Times New Roman"/>
      <w:b/>
      <w:kern w:val="44"/>
      <w:sz w:val="44"/>
      <w:szCs w:val="20"/>
      <w:lang w:bidi="ar-SA"/>
    </w:rPr>
  </w:style>
  <w:style w:type="paragraph" w:customStyle="1" w:styleId="328">
    <w:name w:val="翟 正文"/>
    <w:basedOn w:val="1"/>
    <w:autoRedefine/>
    <w:qFormat/>
    <w:uiPriority w:val="0"/>
    <w:pPr>
      <w:spacing w:line="480" w:lineRule="exact"/>
      <w:ind w:firstLine="200" w:firstLineChars="200"/>
    </w:pPr>
    <w:rPr>
      <w:rFonts w:ascii="宋体" w:hAnsi="Times New Roman" w:eastAsia="宋体" w:cs="Times New Roman"/>
      <w:snapToGrid w:val="0"/>
      <w:color w:val="000000"/>
      <w:kern w:val="0"/>
      <w:sz w:val="28"/>
      <w:szCs w:val="28"/>
    </w:rPr>
  </w:style>
  <w:style w:type="paragraph" w:customStyle="1" w:styleId="329">
    <w:name w:val="倪芳"/>
    <w:basedOn w:val="1"/>
    <w:autoRedefine/>
    <w:qFormat/>
    <w:uiPriority w:val="0"/>
    <w:pPr>
      <w:spacing w:beforeLines="25" w:afterLines="15" w:line="400" w:lineRule="exact"/>
    </w:pPr>
    <w:rPr>
      <w:rFonts w:ascii="宋体" w:hAnsi="Times New Roman" w:eastAsia="宋体" w:cs="Courier New"/>
      <w:sz w:val="24"/>
      <w:szCs w:val="21"/>
    </w:rPr>
  </w:style>
  <w:style w:type="paragraph" w:customStyle="1" w:styleId="330">
    <w:name w:val="font0"/>
    <w:basedOn w:val="1"/>
    <w:autoRedefine/>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331">
    <w:name w:val="font7"/>
    <w:basedOn w:val="1"/>
    <w:autoRedefine/>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332">
    <w:name w:val="font8"/>
    <w:basedOn w:val="1"/>
    <w:autoRedefine/>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333">
    <w:name w:val="font9"/>
    <w:basedOn w:val="1"/>
    <w:autoRedefine/>
    <w:qFormat/>
    <w:uiPriority w:val="0"/>
    <w:pPr>
      <w:widowControl/>
      <w:spacing w:before="100" w:beforeAutospacing="1" w:after="100" w:afterAutospacing="1"/>
      <w:jc w:val="left"/>
    </w:pPr>
    <w:rPr>
      <w:rFonts w:ascii="宋体" w:hAnsi="Times New Roman" w:eastAsia="宋体" w:cs="宋体"/>
      <w:b/>
      <w:bCs/>
      <w:kern w:val="0"/>
      <w:sz w:val="20"/>
      <w:szCs w:val="20"/>
    </w:rPr>
  </w:style>
  <w:style w:type="paragraph" w:customStyle="1" w:styleId="334">
    <w:name w:val="font10"/>
    <w:basedOn w:val="1"/>
    <w:autoRedefine/>
    <w:qFormat/>
    <w:uiPriority w:val="0"/>
    <w:pPr>
      <w:widowControl/>
      <w:spacing w:before="100" w:beforeAutospacing="1" w:after="100" w:afterAutospacing="1"/>
      <w:jc w:val="left"/>
    </w:pPr>
    <w:rPr>
      <w:rFonts w:ascii="Calibri" w:hAnsi="Calibri" w:eastAsia="宋体" w:cs="宋体"/>
      <w:kern w:val="0"/>
      <w:sz w:val="20"/>
      <w:szCs w:val="20"/>
    </w:rPr>
  </w:style>
  <w:style w:type="paragraph" w:customStyle="1" w:styleId="335">
    <w:name w:val="xl2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36">
    <w:name w:val="xl2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37">
    <w:name w:val="xl2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38">
    <w:name w:val="xl2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b/>
      <w:bCs/>
      <w:kern w:val="0"/>
      <w:sz w:val="24"/>
      <w:szCs w:val="24"/>
    </w:rPr>
  </w:style>
  <w:style w:type="paragraph" w:customStyle="1" w:styleId="339">
    <w:name w:val="xl228"/>
    <w:basedOn w:val="1"/>
    <w:autoRedefine/>
    <w:qFormat/>
    <w:uiPriority w:val="0"/>
    <w:pPr>
      <w:widowControl/>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40">
    <w:name w:val="xl22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41">
    <w:name w:val="xl2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color w:val="000000"/>
      <w:kern w:val="0"/>
      <w:sz w:val="24"/>
      <w:szCs w:val="24"/>
    </w:rPr>
  </w:style>
  <w:style w:type="paragraph" w:customStyle="1" w:styleId="342">
    <w:name w:val="xl2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color w:val="000000"/>
      <w:kern w:val="0"/>
      <w:sz w:val="24"/>
      <w:szCs w:val="24"/>
    </w:rPr>
  </w:style>
  <w:style w:type="paragraph" w:customStyle="1" w:styleId="343">
    <w:name w:val="xl2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color w:val="000000"/>
      <w:kern w:val="0"/>
      <w:sz w:val="24"/>
      <w:szCs w:val="24"/>
    </w:rPr>
  </w:style>
  <w:style w:type="paragraph" w:customStyle="1" w:styleId="344">
    <w:name w:val="xl2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45">
    <w:name w:val="xl2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46">
    <w:name w:val="xl2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47">
    <w:name w:val="xl2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48">
    <w:name w:val="xl2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49">
    <w:name w:val="xl2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50">
    <w:name w:val="xl2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51">
    <w:name w:val="xl2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52">
    <w:name w:val="xl2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Times New Roman" w:eastAsia="宋体" w:cs="宋体"/>
      <w:kern w:val="0"/>
      <w:sz w:val="24"/>
      <w:szCs w:val="24"/>
    </w:rPr>
  </w:style>
  <w:style w:type="paragraph" w:customStyle="1" w:styleId="353">
    <w:name w:val="xl2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54">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55">
    <w:name w:val="xl2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56">
    <w:name w:val="xl2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57">
    <w:name w:val="xl2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58">
    <w:name w:val="xl2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59">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60">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61">
    <w:name w:val="xl2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62">
    <w:name w:val="xl251"/>
    <w:basedOn w:val="1"/>
    <w:autoRedefine/>
    <w:qFormat/>
    <w:uiPriority w:val="0"/>
    <w:pPr>
      <w:widowControl/>
      <w:spacing w:before="100" w:beforeAutospacing="1" w:after="100" w:afterAutospacing="1"/>
      <w:jc w:val="center"/>
      <w:textAlignment w:val="center"/>
    </w:pPr>
    <w:rPr>
      <w:rFonts w:ascii="宋体" w:hAnsi="Times New Roman" w:eastAsia="宋体" w:cs="宋体"/>
      <w:kern w:val="0"/>
      <w:sz w:val="24"/>
      <w:szCs w:val="24"/>
    </w:rPr>
  </w:style>
  <w:style w:type="paragraph" w:customStyle="1" w:styleId="363">
    <w:name w:val="xl2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宋体" w:cs="宋体"/>
      <w:kern w:val="0"/>
      <w:sz w:val="24"/>
      <w:szCs w:val="24"/>
    </w:rPr>
  </w:style>
  <w:style w:type="paragraph" w:customStyle="1" w:styleId="364">
    <w:name w:val="xl2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65">
    <w:name w:val="xl2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color w:val="000000"/>
      <w:kern w:val="0"/>
      <w:sz w:val="24"/>
      <w:szCs w:val="24"/>
    </w:rPr>
  </w:style>
  <w:style w:type="paragraph" w:customStyle="1" w:styleId="366">
    <w:name w:val="xl2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67">
    <w:name w:val="xl2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68">
    <w:name w:val="xl2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69">
    <w:name w:val="xl2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0">
    <w:name w:val="xl2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1">
    <w:name w:val="xl2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2">
    <w:name w:val="xl2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3">
    <w:name w:val="xl2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4">
    <w:name w:val="xl2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5">
    <w:name w:val="xl2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6">
    <w:name w:val="xl2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7">
    <w:name w:val="xl2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8">
    <w:name w:val="xl2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79">
    <w:name w:val="xl268"/>
    <w:basedOn w:val="1"/>
    <w:autoRedefine/>
    <w:qFormat/>
    <w:uiPriority w:val="0"/>
    <w:pPr>
      <w:widowControl/>
      <w:spacing w:before="100" w:beforeAutospacing="1" w:after="100" w:afterAutospacing="1"/>
      <w:jc w:val="left"/>
      <w:textAlignment w:val="center"/>
    </w:pPr>
    <w:rPr>
      <w:rFonts w:ascii="宋体" w:hAnsi="Times New Roman" w:eastAsia="宋体" w:cs="宋体"/>
      <w:kern w:val="0"/>
      <w:sz w:val="24"/>
      <w:szCs w:val="24"/>
    </w:rPr>
  </w:style>
  <w:style w:type="paragraph" w:customStyle="1" w:styleId="380">
    <w:name w:val="xl269"/>
    <w:basedOn w:val="1"/>
    <w:autoRedefine/>
    <w:qFormat/>
    <w:uiPriority w:val="0"/>
    <w:pPr>
      <w:widowControl/>
      <w:pBdr>
        <w:bottom w:val="single" w:color="auto" w:sz="4" w:space="0"/>
      </w:pBdr>
      <w:spacing w:before="100" w:beforeAutospacing="1" w:after="100" w:afterAutospacing="1"/>
      <w:jc w:val="left"/>
      <w:textAlignment w:val="center"/>
    </w:pPr>
    <w:rPr>
      <w:rFonts w:ascii="宋体" w:hAnsi="Times New Roman" w:eastAsia="宋体" w:cs="宋体"/>
      <w:kern w:val="0"/>
      <w:sz w:val="40"/>
      <w:szCs w:val="40"/>
    </w:rPr>
  </w:style>
  <w:style w:type="character" w:customStyle="1" w:styleId="381">
    <w:name w:val="正文文本 Char"/>
    <w:autoRedefine/>
    <w:qFormat/>
    <w:uiPriority w:val="0"/>
    <w:rPr>
      <w:rFonts w:ascii="宋体"/>
      <w:kern w:val="10"/>
      <w:sz w:val="21"/>
    </w:rPr>
  </w:style>
  <w:style w:type="paragraph" w:customStyle="1" w:styleId="382">
    <w:name w:val="Char Char Char Char Char Char Char"/>
    <w:basedOn w:val="1"/>
    <w:autoRedefine/>
    <w:qFormat/>
    <w:uiPriority w:val="0"/>
    <w:rPr>
      <w:rFonts w:ascii="仿宋_GB2312" w:hAnsi="Times New Roman" w:eastAsia="仿宋_GB2312" w:cs="Times New Roman"/>
      <w:b/>
      <w:sz w:val="32"/>
      <w:szCs w:val="32"/>
    </w:rPr>
  </w:style>
  <w:style w:type="paragraph" w:customStyle="1" w:styleId="383">
    <w:name w:val="正文样式"/>
    <w:basedOn w:val="34"/>
    <w:autoRedefine/>
    <w:qFormat/>
    <w:uiPriority w:val="0"/>
    <w:pPr>
      <w:widowControl w:val="0"/>
      <w:shd w:val="clear" w:color="auto" w:fill="auto"/>
      <w:tabs>
        <w:tab w:val="clear" w:pos="426"/>
      </w:tabs>
      <w:adjustRightInd/>
      <w:snapToGrid/>
      <w:jc w:val="left"/>
    </w:pPr>
    <w:rPr>
      <w:rFonts w:ascii="宋体" w:cs="宋体"/>
      <w:szCs w:val="20"/>
    </w:rPr>
  </w:style>
  <w:style w:type="paragraph" w:customStyle="1" w:styleId="384">
    <w:name w:val="样式 USE 1 + 行距: 单倍行距"/>
    <w:basedOn w:val="1"/>
    <w:autoRedefine/>
    <w:qFormat/>
    <w:uiPriority w:val="0"/>
    <w:pPr>
      <w:numPr>
        <w:ilvl w:val="0"/>
        <w:numId w:val="29"/>
      </w:numPr>
      <w:spacing w:line="180" w:lineRule="atLeast"/>
      <w:jc w:val="left"/>
    </w:pPr>
    <w:rPr>
      <w:rFonts w:ascii="宋体" w:hAnsi="Times New Roman" w:eastAsia="宋体" w:cs="宋体"/>
      <w:b/>
      <w:bCs/>
      <w:sz w:val="24"/>
      <w:szCs w:val="20"/>
    </w:rPr>
  </w:style>
  <w:style w:type="paragraph" w:customStyle="1" w:styleId="385">
    <w:name w:val="USE 2"/>
    <w:basedOn w:val="1"/>
    <w:autoRedefine/>
    <w:qFormat/>
    <w:uiPriority w:val="0"/>
    <w:pPr>
      <w:numPr>
        <w:ilvl w:val="1"/>
        <w:numId w:val="29"/>
      </w:numPr>
      <w:spacing w:line="360" w:lineRule="auto"/>
      <w:jc w:val="left"/>
    </w:pPr>
    <w:rPr>
      <w:rFonts w:ascii="宋体" w:hAnsi="Times New Roman" w:eastAsia="宋体" w:cs="Times New Roman"/>
      <w:sz w:val="24"/>
      <w:szCs w:val="20"/>
    </w:rPr>
  </w:style>
  <w:style w:type="paragraph" w:customStyle="1" w:styleId="386">
    <w:name w:val="USE 3"/>
    <w:basedOn w:val="1"/>
    <w:autoRedefine/>
    <w:qFormat/>
    <w:uiPriority w:val="0"/>
    <w:pPr>
      <w:numPr>
        <w:ilvl w:val="2"/>
        <w:numId w:val="29"/>
      </w:numPr>
      <w:spacing w:line="360" w:lineRule="auto"/>
      <w:jc w:val="left"/>
    </w:pPr>
    <w:rPr>
      <w:rFonts w:ascii="宋体" w:hAnsi="Times New Roman" w:eastAsia="宋体" w:cs="Times New Roman"/>
      <w:sz w:val="24"/>
      <w:szCs w:val="20"/>
    </w:rPr>
  </w:style>
  <w:style w:type="paragraph" w:customStyle="1" w:styleId="387">
    <w:name w:val="USE 4"/>
    <w:basedOn w:val="1"/>
    <w:autoRedefine/>
    <w:qFormat/>
    <w:uiPriority w:val="0"/>
    <w:pPr>
      <w:numPr>
        <w:ilvl w:val="3"/>
        <w:numId w:val="29"/>
      </w:numPr>
      <w:spacing w:line="360" w:lineRule="auto"/>
      <w:jc w:val="left"/>
    </w:pPr>
    <w:rPr>
      <w:rFonts w:ascii="宋体" w:hAnsi="Times New Roman" w:eastAsia="宋体" w:cs="Times New Roman"/>
      <w:sz w:val="24"/>
      <w:szCs w:val="20"/>
    </w:rPr>
  </w:style>
  <w:style w:type="paragraph" w:customStyle="1" w:styleId="388">
    <w:name w:val="USE 5"/>
    <w:basedOn w:val="1"/>
    <w:autoRedefine/>
    <w:qFormat/>
    <w:uiPriority w:val="0"/>
    <w:pPr>
      <w:numPr>
        <w:ilvl w:val="4"/>
        <w:numId w:val="29"/>
      </w:numPr>
      <w:spacing w:line="360" w:lineRule="auto"/>
      <w:jc w:val="left"/>
    </w:pPr>
    <w:rPr>
      <w:rFonts w:ascii="宋体" w:hAnsi="Times New Roman" w:eastAsia="宋体" w:cs="Times New Roman"/>
      <w:sz w:val="24"/>
      <w:szCs w:val="24"/>
    </w:rPr>
  </w:style>
  <w:style w:type="paragraph" w:customStyle="1" w:styleId="389">
    <w:name w:val="样式 (西文) 宋体 行距: 1.5 倍行距"/>
    <w:basedOn w:val="1"/>
    <w:autoRedefine/>
    <w:qFormat/>
    <w:uiPriority w:val="0"/>
    <w:pPr>
      <w:spacing w:line="360" w:lineRule="auto"/>
    </w:pPr>
    <w:rPr>
      <w:rFonts w:ascii="宋体" w:hAnsi="Times New Roman" w:eastAsia="宋体" w:cs="宋体"/>
      <w:szCs w:val="20"/>
    </w:rPr>
  </w:style>
  <w:style w:type="character" w:customStyle="1" w:styleId="390">
    <w:name w:val="font10pt"/>
    <w:autoRedefine/>
    <w:qFormat/>
    <w:uiPriority w:val="0"/>
  </w:style>
  <w:style w:type="character" w:customStyle="1" w:styleId="391">
    <w:name w:val="ss1"/>
    <w:autoRedefine/>
    <w:qFormat/>
    <w:uiPriority w:val="0"/>
    <w:rPr>
      <w:rFonts w:ascii="ˎ̥" w:hAnsi="ˎ̥"/>
      <w:color w:val="000000"/>
      <w:sz w:val="18"/>
      <w:szCs w:val="18"/>
      <w:u w:val="none"/>
    </w:rPr>
  </w:style>
  <w:style w:type="character" w:customStyle="1" w:styleId="392">
    <w:name w:val="unnamed211"/>
    <w:autoRedefine/>
    <w:qFormat/>
    <w:uiPriority w:val="0"/>
    <w:rPr>
      <w:sz w:val="23"/>
      <w:szCs w:val="23"/>
    </w:rPr>
  </w:style>
  <w:style w:type="character" w:customStyle="1" w:styleId="393">
    <w:name w:val="f142"/>
    <w:autoRedefine/>
    <w:qFormat/>
    <w:uiPriority w:val="0"/>
    <w:rPr>
      <w:sz w:val="21"/>
      <w:szCs w:val="21"/>
    </w:rPr>
  </w:style>
  <w:style w:type="character" w:customStyle="1" w:styleId="394">
    <w:name w:val="f14b1"/>
    <w:autoRedefine/>
    <w:qFormat/>
    <w:uiPriority w:val="0"/>
    <w:rPr>
      <w:b/>
      <w:bCs/>
      <w:sz w:val="21"/>
      <w:szCs w:val="21"/>
    </w:rPr>
  </w:style>
  <w:style w:type="paragraph" w:customStyle="1" w:styleId="395">
    <w:name w:val="ggbody"/>
    <w:basedOn w:val="1"/>
    <w:autoRedefine/>
    <w:qFormat/>
    <w:uiPriority w:val="0"/>
    <w:pPr>
      <w:widowControl/>
      <w:spacing w:before="100" w:beforeAutospacing="1" w:after="100" w:afterAutospacing="1" w:line="330" w:lineRule="atLeast"/>
      <w:jc w:val="left"/>
    </w:pPr>
    <w:rPr>
      <w:rFonts w:ascii="宋体" w:hAnsi="Times New Roman" w:eastAsia="宋体" w:cs="宋体"/>
      <w:kern w:val="0"/>
      <w:sz w:val="23"/>
      <w:szCs w:val="23"/>
    </w:rPr>
  </w:style>
  <w:style w:type="paragraph" w:customStyle="1" w:styleId="396">
    <w:name w:val="ggtitle"/>
    <w:basedOn w:val="1"/>
    <w:autoRedefine/>
    <w:qFormat/>
    <w:uiPriority w:val="0"/>
    <w:pPr>
      <w:widowControl/>
      <w:spacing w:before="100" w:beforeAutospacing="1" w:after="100" w:afterAutospacing="1" w:line="330" w:lineRule="atLeast"/>
      <w:jc w:val="left"/>
    </w:pPr>
    <w:rPr>
      <w:rFonts w:ascii="宋体" w:hAnsi="Times New Roman" w:eastAsia="宋体" w:cs="宋体"/>
      <w:kern w:val="0"/>
      <w:sz w:val="23"/>
      <w:szCs w:val="23"/>
    </w:rPr>
  </w:style>
  <w:style w:type="character" w:customStyle="1" w:styleId="397">
    <w:name w:val="ggwenhao"/>
    <w:autoRedefine/>
    <w:qFormat/>
    <w:uiPriority w:val="0"/>
  </w:style>
  <w:style w:type="character" w:customStyle="1" w:styleId="398">
    <w:name w:val="text1"/>
    <w:autoRedefine/>
    <w:qFormat/>
    <w:uiPriority w:val="0"/>
  </w:style>
  <w:style w:type="character" w:customStyle="1" w:styleId="399">
    <w:name w:val="style3"/>
    <w:autoRedefine/>
    <w:qFormat/>
    <w:uiPriority w:val="0"/>
  </w:style>
  <w:style w:type="paragraph" w:customStyle="1" w:styleId="400">
    <w:name w:val="目录"/>
    <w:basedOn w:val="1"/>
    <w:autoRedefine/>
    <w:qFormat/>
    <w:uiPriority w:val="0"/>
    <w:pPr>
      <w:widowControl/>
      <w:jc w:val="center"/>
    </w:pPr>
    <w:rPr>
      <w:rFonts w:ascii="宋体" w:hAnsi="Times New Roman" w:eastAsia="宋体" w:cs="Times New Roman"/>
      <w:b/>
      <w:kern w:val="0"/>
      <w:sz w:val="36"/>
      <w:szCs w:val="20"/>
    </w:rPr>
  </w:style>
  <w:style w:type="character" w:customStyle="1" w:styleId="401">
    <w:name w:val="tpc_content1"/>
    <w:autoRedefine/>
    <w:qFormat/>
    <w:uiPriority w:val="0"/>
    <w:rPr>
      <w:sz w:val="20"/>
      <w:szCs w:val="20"/>
    </w:rPr>
  </w:style>
  <w:style w:type="paragraph" w:customStyle="1" w:styleId="402">
    <w:name w:val="Char1 Char Char Char"/>
    <w:basedOn w:val="1"/>
    <w:autoRedefine/>
    <w:qFormat/>
    <w:uiPriority w:val="0"/>
    <w:rPr>
      <w:rFonts w:ascii="Times New Roman" w:hAnsi="Times New Roman" w:eastAsia="仿宋_GB2312" w:cs="Times New Roman"/>
      <w:sz w:val="28"/>
      <w:szCs w:val="24"/>
    </w:rPr>
  </w:style>
  <w:style w:type="paragraph" w:customStyle="1" w:styleId="403">
    <w:name w:val="p9"/>
    <w:basedOn w:val="1"/>
    <w:autoRedefine/>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customStyle="1" w:styleId="40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24"/>
      <w:szCs w:val="24"/>
    </w:rPr>
  </w:style>
  <w:style w:type="paragraph" w:customStyle="1" w:styleId="405">
    <w:name w:val="2册标题2"/>
    <w:basedOn w:val="1"/>
    <w:next w:val="1"/>
    <w:autoRedefine/>
    <w:qFormat/>
    <w:uiPriority w:val="0"/>
    <w:pPr>
      <w:widowControl/>
      <w:spacing w:beforeLines="50" w:afterLines="50" w:line="300" w:lineRule="auto"/>
      <w:jc w:val="left"/>
      <w:outlineLvl w:val="1"/>
    </w:pPr>
    <w:rPr>
      <w:rFonts w:ascii="Arial" w:hAnsi="Arial" w:eastAsia="黑体" w:cs="Times New Roman"/>
      <w:kern w:val="0"/>
      <w:sz w:val="30"/>
      <w:szCs w:val="30"/>
      <w:lang w:eastAsia="en-US" w:bidi="en-US"/>
    </w:rPr>
  </w:style>
  <w:style w:type="paragraph" w:customStyle="1" w:styleId="406">
    <w:name w:val="TOC 标题2"/>
    <w:basedOn w:val="3"/>
    <w:next w:val="1"/>
    <w:autoRedefine/>
    <w:qFormat/>
    <w:uiPriority w:val="0"/>
    <w:pPr>
      <w:keepNext/>
      <w:keepLines/>
      <w:tabs>
        <w:tab w:val="clear" w:pos="426"/>
      </w:tabs>
      <w:spacing w:before="480" w:after="0" w:line="276" w:lineRule="auto"/>
      <w:jc w:val="left"/>
      <w:outlineLvl w:val="9"/>
    </w:pPr>
    <w:rPr>
      <w:rFonts w:ascii="Cambria" w:hAnsi="Cambria" w:eastAsia="宋体"/>
      <w:color w:val="365F91"/>
      <w:kern w:val="0"/>
    </w:rPr>
  </w:style>
  <w:style w:type="paragraph" w:customStyle="1" w:styleId="407">
    <w:name w:val="Char Char Char Char Char Char Char1"/>
    <w:basedOn w:val="1"/>
    <w:autoRedefine/>
    <w:qFormat/>
    <w:uiPriority w:val="0"/>
    <w:pPr>
      <w:tabs>
        <w:tab w:val="center" w:leader="middleDot" w:pos="9240"/>
        <w:tab w:val="center" w:pos="9520"/>
      </w:tabs>
    </w:pPr>
    <w:rPr>
      <w:rFonts w:ascii="Times New Roman" w:hAnsi="Times New Roman" w:eastAsia="仿宋_GB2312" w:cs="Times New Roman"/>
      <w:sz w:val="24"/>
      <w:szCs w:val="24"/>
    </w:rPr>
  </w:style>
  <w:style w:type="paragraph" w:customStyle="1" w:styleId="408">
    <w:name w:val="表1"/>
    <w:basedOn w:val="1"/>
    <w:autoRedefine/>
    <w:qFormat/>
    <w:uiPriority w:val="0"/>
    <w:rPr>
      <w:rFonts w:ascii="Times New Roman" w:hAnsi="Times New Roman" w:eastAsia="宋体" w:cs="Times New Roman"/>
      <w:sz w:val="24"/>
      <w:szCs w:val="20"/>
    </w:rPr>
  </w:style>
  <w:style w:type="character" w:customStyle="1" w:styleId="409">
    <w:name w:val="138v1"/>
    <w:autoRedefine/>
    <w:qFormat/>
    <w:uiPriority w:val="0"/>
  </w:style>
  <w:style w:type="character" w:customStyle="1" w:styleId="410">
    <w:name w:val="正文缩进 Char1"/>
    <w:autoRedefine/>
    <w:qFormat/>
    <w:uiPriority w:val="0"/>
    <w:rPr>
      <w:kern w:val="2"/>
      <w:sz w:val="21"/>
    </w:rPr>
  </w:style>
  <w:style w:type="paragraph" w:customStyle="1" w:styleId="411">
    <w:name w:val="Default Text"/>
    <w:basedOn w:val="1"/>
    <w:autoRedefine/>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412">
    <w:name w:val="缺省文本"/>
    <w:basedOn w:val="1"/>
    <w:autoRedefine/>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413">
    <w:name w:val="_Style 38"/>
    <w:basedOn w:val="1"/>
    <w:autoRedefine/>
    <w:qFormat/>
    <w:uiPriority w:val="0"/>
    <w:rPr>
      <w:rFonts w:ascii="Times New Roman" w:hAnsi="Times New Roman" w:eastAsia="宋体" w:cs="Times New Roman"/>
      <w:szCs w:val="24"/>
    </w:rPr>
  </w:style>
  <w:style w:type="paragraph" w:customStyle="1" w:styleId="414">
    <w:name w:val="标题1"/>
    <w:basedOn w:val="3"/>
    <w:autoRedefine/>
    <w:qFormat/>
    <w:uiPriority w:val="0"/>
    <w:pPr>
      <w:keepNext/>
      <w:keepLines/>
      <w:numPr>
        <w:ilvl w:val="0"/>
        <w:numId w:val="30"/>
      </w:numPr>
      <w:tabs>
        <w:tab w:val="clear" w:pos="426"/>
      </w:tabs>
      <w:spacing w:before="400" w:after="400" w:line="240" w:lineRule="auto"/>
      <w:jc w:val="both"/>
    </w:pPr>
    <w:rPr>
      <w:rFonts w:ascii="Times New Roman"/>
      <w:sz w:val="30"/>
      <w:szCs w:val="24"/>
    </w:rPr>
  </w:style>
  <w:style w:type="paragraph" w:customStyle="1" w:styleId="415">
    <w:name w:val="附录"/>
    <w:basedOn w:val="21"/>
    <w:next w:val="1"/>
    <w:autoRedefine/>
    <w:qFormat/>
    <w:uiPriority w:val="0"/>
    <w:pPr>
      <w:widowControl w:val="0"/>
      <w:shd w:val="clear" w:color="auto" w:fill="auto"/>
      <w:tabs>
        <w:tab w:val="clear" w:pos="426"/>
      </w:tabs>
      <w:adjustRightInd/>
      <w:snapToGrid/>
      <w:spacing w:before="152" w:after="160" w:line="240" w:lineRule="auto"/>
    </w:pPr>
    <w:rPr>
      <w:kern w:val="2"/>
    </w:rPr>
  </w:style>
  <w:style w:type="paragraph" w:customStyle="1" w:styleId="416">
    <w:name w:val="表格注释"/>
    <w:basedOn w:val="1"/>
    <w:autoRedefine/>
    <w:qFormat/>
    <w:uiPriority w:val="0"/>
    <w:pPr>
      <w:spacing w:line="300" w:lineRule="exact"/>
      <w:ind w:firstLine="200" w:firstLineChars="200"/>
      <w:jc w:val="left"/>
    </w:pPr>
    <w:rPr>
      <w:rFonts w:ascii="Times New Roman" w:hAnsi="Times New Roman" w:eastAsia="楷体_GB2312" w:cs="宋体"/>
      <w:kern w:val="0"/>
      <w:szCs w:val="21"/>
    </w:rPr>
  </w:style>
  <w:style w:type="paragraph" w:customStyle="1" w:styleId="417">
    <w:name w:val="样式 题注 + 行距: 固定值 23 磅"/>
    <w:basedOn w:val="21"/>
    <w:autoRedefine/>
    <w:qFormat/>
    <w:uiPriority w:val="0"/>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418">
    <w:name w:val="普通文字1 Char Char"/>
    <w:autoRedefine/>
    <w:qFormat/>
    <w:uiPriority w:val="0"/>
    <w:rPr>
      <w:rFonts w:ascii="宋体" w:eastAsia="宋体" w:cs="Courier New"/>
      <w:kern w:val="2"/>
      <w:sz w:val="21"/>
      <w:szCs w:val="21"/>
      <w:lang w:val="en-US" w:eastAsia="zh-CN" w:bidi="ar-SA"/>
    </w:rPr>
  </w:style>
  <w:style w:type="paragraph" w:customStyle="1" w:styleId="419">
    <w:name w:val="--规划正文"/>
    <w:basedOn w:val="1"/>
    <w:autoRedefine/>
    <w:qFormat/>
    <w:uiPriority w:val="0"/>
    <w:pPr>
      <w:spacing w:line="360" w:lineRule="auto"/>
      <w:ind w:firstLine="200" w:firstLineChars="200"/>
    </w:pPr>
    <w:rPr>
      <w:rFonts w:ascii="Times New Roman" w:hAnsi="Times New Roman" w:eastAsia="宋体" w:cs="Times New Roman"/>
      <w:szCs w:val="20"/>
    </w:rPr>
  </w:style>
  <w:style w:type="paragraph" w:customStyle="1" w:styleId="420">
    <w:name w:val="xl2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520" w:lineRule="exact"/>
      <w:jc w:val="center"/>
      <w:textAlignment w:val="center"/>
    </w:pPr>
    <w:rPr>
      <w:rFonts w:ascii="宋体" w:hAnsi="Times New Roman" w:eastAsia="宋体" w:cs="Times New Roman"/>
      <w:kern w:val="0"/>
      <w:sz w:val="24"/>
      <w:szCs w:val="20"/>
    </w:rPr>
  </w:style>
  <w:style w:type="paragraph" w:customStyle="1" w:styleId="421">
    <w:name w:val="cqq2"/>
    <w:basedOn w:val="1"/>
    <w:autoRedefine/>
    <w:qFormat/>
    <w:uiPriority w:val="0"/>
    <w:pPr>
      <w:spacing w:line="520" w:lineRule="exact"/>
    </w:pPr>
    <w:rPr>
      <w:rFonts w:ascii="仿宋_GB2312" w:hAnsi="Times New Roman" w:eastAsia="仿宋_GB2312" w:cs="Times New Roman"/>
      <w:b/>
      <w:sz w:val="28"/>
      <w:szCs w:val="20"/>
    </w:rPr>
  </w:style>
  <w:style w:type="character" w:customStyle="1" w:styleId="422">
    <w:name w:val="纯文本 Char1"/>
    <w:autoRedefine/>
    <w:qFormat/>
    <w:uiPriority w:val="0"/>
    <w:rPr>
      <w:rFonts w:ascii="宋体" w:cs="Courier New"/>
      <w:kern w:val="2"/>
      <w:sz w:val="21"/>
      <w:szCs w:val="21"/>
      <w:lang w:bidi="ar-SA"/>
    </w:rPr>
  </w:style>
  <w:style w:type="character" w:customStyle="1" w:styleId="423">
    <w:name w:val="日期 Char1"/>
    <w:autoRedefine/>
    <w:qFormat/>
    <w:uiPriority w:val="0"/>
    <w:rPr>
      <w:kern w:val="2"/>
      <w:sz w:val="21"/>
      <w:szCs w:val="24"/>
    </w:rPr>
  </w:style>
  <w:style w:type="character" w:customStyle="1" w:styleId="424">
    <w:name w:val="文档结构图 Char1"/>
    <w:autoRedefine/>
    <w:qFormat/>
    <w:uiPriority w:val="0"/>
    <w:rPr>
      <w:rFonts w:ascii="宋体"/>
      <w:kern w:val="2"/>
      <w:sz w:val="18"/>
      <w:szCs w:val="18"/>
    </w:rPr>
  </w:style>
  <w:style w:type="character" w:customStyle="1" w:styleId="425">
    <w:name w:val="正文文本缩进 Char1"/>
    <w:autoRedefine/>
    <w:qFormat/>
    <w:uiPriority w:val="0"/>
    <w:rPr>
      <w:kern w:val="2"/>
      <w:sz w:val="21"/>
      <w:szCs w:val="24"/>
    </w:rPr>
  </w:style>
  <w:style w:type="character" w:customStyle="1" w:styleId="426">
    <w:name w:val="正文文本缩进 3 Char1"/>
    <w:autoRedefine/>
    <w:qFormat/>
    <w:uiPriority w:val="0"/>
    <w:rPr>
      <w:kern w:val="2"/>
      <w:sz w:val="16"/>
      <w:szCs w:val="16"/>
    </w:rPr>
  </w:style>
  <w:style w:type="character" w:customStyle="1" w:styleId="427">
    <w:name w:val="副标题 Char1"/>
    <w:autoRedefine/>
    <w:qFormat/>
    <w:uiPriority w:val="0"/>
    <w:rPr>
      <w:rFonts w:ascii="Cambria" w:hAnsi="Cambria" w:cs="Times New Roman"/>
      <w:b/>
      <w:bCs/>
      <w:kern w:val="28"/>
      <w:sz w:val="32"/>
      <w:szCs w:val="32"/>
      <w:lang w:bidi="ar-SA"/>
    </w:rPr>
  </w:style>
  <w:style w:type="character" w:customStyle="1" w:styleId="428">
    <w:name w:val="页脚 Char1"/>
    <w:autoRedefine/>
    <w:qFormat/>
    <w:uiPriority w:val="0"/>
    <w:rPr>
      <w:kern w:val="2"/>
      <w:sz w:val="18"/>
      <w:szCs w:val="18"/>
    </w:rPr>
  </w:style>
  <w:style w:type="paragraph" w:customStyle="1" w:styleId="429">
    <w:name w:val="Char Char Char1 Char Char Char1 Char Char Char Char Char Char1 Char Char Char1 Char"/>
    <w:basedOn w:val="1"/>
    <w:autoRedefine/>
    <w:qFormat/>
    <w:uiPriority w:val="0"/>
    <w:rPr>
      <w:rFonts w:ascii="Times New Roman" w:hAnsi="Times New Roman" w:eastAsia="宋体" w:cs="Times New Roman"/>
      <w:szCs w:val="20"/>
    </w:rPr>
  </w:style>
  <w:style w:type="paragraph" w:customStyle="1" w:styleId="430">
    <w:name w:val="1"/>
    <w:basedOn w:val="1"/>
    <w:autoRedefine/>
    <w:qFormat/>
    <w:uiPriority w:val="0"/>
    <w:pPr>
      <w:widowControl/>
      <w:shd w:val="clear" w:color="auto" w:fill="FFFFFF"/>
      <w:spacing w:before="280" w:after="290" w:line="376" w:lineRule="auto"/>
      <w:ind w:left="420" w:hanging="420"/>
      <w:jc w:val="left"/>
      <w:outlineLvl w:val="2"/>
    </w:pPr>
    <w:rPr>
      <w:rFonts w:ascii="宋体" w:hAnsi="Times New Roman" w:eastAsia="宋体" w:cs="Times New Roman"/>
      <w:b/>
      <w:kern w:val="0"/>
      <w:sz w:val="24"/>
      <w:szCs w:val="24"/>
    </w:rPr>
  </w:style>
  <w:style w:type="character" w:customStyle="1" w:styleId="431">
    <w:name w:val="标题 1 Char"/>
    <w:autoRedefine/>
    <w:qFormat/>
    <w:uiPriority w:val="0"/>
    <w:rPr>
      <w:rFonts w:ascii="宋体" w:hAnsi="宋体" w:eastAsia="黑体" w:cs="Times New Roman"/>
      <w:b/>
      <w:bCs/>
      <w:kern w:val="44"/>
      <w:sz w:val="28"/>
      <w:szCs w:val="28"/>
      <w:shd w:val="clear" w:color="auto" w:fill="FFFFFF"/>
      <w:lang w:bidi="ar-SA"/>
    </w:rPr>
  </w:style>
  <w:style w:type="paragraph" w:customStyle="1" w:styleId="432">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3">
    <w:name w:val="修订2"/>
    <w:autoRedefine/>
    <w:qFormat/>
    <w:uiPriority w:val="0"/>
    <w:rPr>
      <w:rFonts w:ascii="宋体" w:hAnsi="Times New Roman" w:eastAsia="宋体" w:cs="宋体"/>
      <w:sz w:val="21"/>
      <w:szCs w:val="24"/>
      <w:lang w:val="en-US" w:eastAsia="zh-CN" w:bidi="ar-SA"/>
    </w:rPr>
  </w:style>
  <w:style w:type="paragraph" w:customStyle="1" w:styleId="434">
    <w:name w:val="样式 10 磅"/>
    <w:autoRedefine/>
    <w:qFormat/>
    <w:uiPriority w:val="0"/>
    <w:pPr>
      <w:shd w:val="clear" w:color="auto" w:fill="FFFFFF"/>
      <w:tabs>
        <w:tab w:val="left" w:pos="426"/>
      </w:tabs>
      <w:adjustRightInd w:val="0"/>
      <w:snapToGrid w:val="0"/>
      <w:spacing w:line="360" w:lineRule="auto"/>
      <w:jc w:val="both"/>
    </w:pPr>
    <w:rPr>
      <w:rFonts w:ascii="宋体" w:hAnsi="Times New Roman" w:eastAsia="宋体" w:cs="宋体"/>
      <w:sz w:val="21"/>
      <w:szCs w:val="24"/>
      <w:lang w:val="en-US" w:eastAsia="zh-CN" w:bidi="ar-SA"/>
    </w:rPr>
  </w:style>
  <w:style w:type="paragraph" w:customStyle="1" w:styleId="435">
    <w:name w:val="_Style 386"/>
    <w:basedOn w:val="1"/>
    <w:next w:val="1"/>
    <w:link w:val="436"/>
    <w:autoRedefine/>
    <w:qFormat/>
    <w:uiPriority w:val="0"/>
    <w:pPr>
      <w:ind w:left="840"/>
      <w:jc w:val="left"/>
    </w:pPr>
    <w:rPr>
      <w:rFonts w:ascii="宋体" w:hAnsi="Times New Roman" w:eastAsia="宋体" w:cs="Times New Roman"/>
      <w:szCs w:val="24"/>
    </w:rPr>
  </w:style>
  <w:style w:type="character" w:customStyle="1" w:styleId="436">
    <w:name w:val="正文首行缩进 Char"/>
    <w:link w:val="435"/>
    <w:autoRedefine/>
    <w:qFormat/>
    <w:uiPriority w:val="0"/>
    <w:rPr>
      <w:rFonts w:ascii="宋体" w:hAnsi="Times New Roman" w:eastAsia="宋体" w:cs="Times New Roman"/>
      <w:szCs w:val="24"/>
    </w:rPr>
  </w:style>
  <w:style w:type="character" w:customStyle="1" w:styleId="437">
    <w:name w:val="unnamed4"/>
    <w:autoRedefine/>
    <w:qFormat/>
    <w:uiPriority w:val="0"/>
  </w:style>
  <w:style w:type="character" w:customStyle="1" w:styleId="438">
    <w:name w:val="样式 小五"/>
    <w:qFormat/>
    <w:uiPriority w:val="0"/>
    <w:rPr>
      <w:rFonts w:eastAsia="仿宋_GB2312"/>
      <w:sz w:val="18"/>
    </w:rPr>
  </w:style>
  <w:style w:type="character" w:customStyle="1" w:styleId="439">
    <w:name w:val="标题 3 Char1"/>
    <w:qFormat/>
    <w:uiPriority w:val="0"/>
    <w:rPr>
      <w:rFonts w:eastAsia="宋体"/>
      <w:b/>
      <w:bCs/>
      <w:kern w:val="2"/>
      <w:sz w:val="32"/>
      <w:szCs w:val="32"/>
      <w:lang w:val="en-US" w:eastAsia="zh-CN" w:bidi="ar-SA"/>
    </w:rPr>
  </w:style>
  <w:style w:type="character" w:customStyle="1" w:styleId="440">
    <w:name w:val="标题 3 Char Char"/>
    <w:autoRedefine/>
    <w:qFormat/>
    <w:uiPriority w:val="0"/>
    <w:rPr>
      <w:rFonts w:ascii="黑体" w:eastAsia="黑体"/>
      <w:bCs/>
      <w:sz w:val="30"/>
    </w:rPr>
  </w:style>
  <w:style w:type="paragraph" w:customStyle="1" w:styleId="441">
    <w:name w:val="正文缩入"/>
    <w:basedOn w:val="1"/>
    <w:autoRedefine/>
    <w:qFormat/>
    <w:uiPriority w:val="0"/>
    <w:pPr>
      <w:spacing w:after="120"/>
      <w:ind w:firstLine="504"/>
    </w:pPr>
    <w:rPr>
      <w:rFonts w:ascii="Times New Roman" w:hAnsi="Times New Roman" w:eastAsia="Times New Roman" w:cs="Times New Roman"/>
      <w:sz w:val="24"/>
      <w:szCs w:val="24"/>
    </w:rPr>
  </w:style>
  <w:style w:type="paragraph" w:customStyle="1" w:styleId="442">
    <w:name w:val="Char Char Char Char Char Char Char Char"/>
    <w:basedOn w:val="1"/>
    <w:next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43">
    <w:name w:val="题注5"/>
    <w:basedOn w:val="1"/>
    <w:next w:val="21"/>
    <w:autoRedefine/>
    <w:qFormat/>
    <w:uiPriority w:val="0"/>
    <w:pPr>
      <w:jc w:val="center"/>
    </w:pPr>
    <w:rPr>
      <w:rFonts w:ascii="Times New Roman" w:hAnsi="Times New Roman" w:eastAsia="宋体" w:cs="Times New Roman"/>
      <w:b/>
      <w:color w:val="000000"/>
      <w:sz w:val="24"/>
      <w:szCs w:val="21"/>
    </w:rPr>
  </w:style>
  <w:style w:type="paragraph" w:customStyle="1" w:styleId="444">
    <w:name w:val="正文缩进1"/>
    <w:basedOn w:val="1"/>
    <w:qFormat/>
    <w:uiPriority w:val="0"/>
    <w:pPr>
      <w:ind w:firstLine="200" w:firstLineChars="200"/>
    </w:pPr>
    <w:rPr>
      <w:rFonts w:ascii="Times New Roman" w:hAnsi="Times New Roman" w:eastAsia="宋体" w:cs="Times New Roman"/>
      <w:kern w:val="0"/>
      <w:sz w:val="20"/>
      <w:szCs w:val="24"/>
    </w:rPr>
  </w:style>
  <w:style w:type="paragraph" w:customStyle="1" w:styleId="445">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446">
    <w:name w:val="样式 普通(网站) + 小五"/>
    <w:basedOn w:val="79"/>
    <w:link w:val="447"/>
    <w:autoRedefine/>
    <w:qFormat/>
    <w:uiPriority w:val="0"/>
    <w:pPr>
      <w:shd w:val="clear" w:color="auto" w:fill="auto"/>
      <w:tabs>
        <w:tab w:val="clear" w:pos="426"/>
      </w:tabs>
      <w:adjustRightInd/>
      <w:snapToGrid/>
      <w:spacing w:line="240" w:lineRule="exact"/>
      <w:jc w:val="left"/>
    </w:pPr>
    <w:rPr>
      <w:rFonts w:ascii="Arial Unicode MS" w:hAnsi="Arial Unicode MS" w:eastAsia="仿宋_GB2312" w:cs="Times New Roman"/>
      <w:sz w:val="18"/>
    </w:rPr>
  </w:style>
  <w:style w:type="character" w:customStyle="1" w:styleId="447">
    <w:name w:val="样式 普通(网站) + 小五 Char"/>
    <w:link w:val="446"/>
    <w:autoRedefine/>
    <w:qFormat/>
    <w:uiPriority w:val="0"/>
    <w:rPr>
      <w:rFonts w:ascii="Arial Unicode MS" w:hAnsi="Arial Unicode MS" w:eastAsia="仿宋_GB2312" w:cs="Times New Roman"/>
      <w:kern w:val="0"/>
      <w:sz w:val="18"/>
      <w:szCs w:val="24"/>
    </w:rPr>
  </w:style>
  <w:style w:type="paragraph" w:customStyle="1" w:styleId="448">
    <w:name w:val="题注4"/>
    <w:basedOn w:val="1"/>
    <w:next w:val="21"/>
    <w:autoRedefine/>
    <w:qFormat/>
    <w:uiPriority w:val="0"/>
    <w:pPr>
      <w:ind w:left="-62" w:leftChars="-64" w:right="-50" w:rightChars="-50" w:hanging="2"/>
      <w:jc w:val="center"/>
    </w:pPr>
    <w:rPr>
      <w:rFonts w:ascii="Times New Roman" w:hAnsi="Times New Roman" w:eastAsia="宋体" w:cs="Times New Roman"/>
      <w:b/>
      <w:color w:val="FF0000"/>
      <w:szCs w:val="21"/>
      <w:lang w:val="en-GB" w:eastAsia="en-GB"/>
    </w:rPr>
  </w:style>
  <w:style w:type="paragraph" w:customStyle="1" w:styleId="449">
    <w:name w:val="Char Char Char Char Char Char Char Char Char1 Char Char Char Char Char Char Char Char Char Char Char Char Char"/>
    <w:basedOn w:val="3"/>
    <w:autoRedefine/>
    <w:qFormat/>
    <w:uiPriority w:val="0"/>
    <w:pPr>
      <w:keepNext/>
      <w:keepLines/>
      <w:widowControl/>
      <w:tabs>
        <w:tab w:val="left" w:pos="4032"/>
        <w:tab w:val="clear" w:pos="426"/>
      </w:tabs>
      <w:snapToGrid w:val="0"/>
      <w:spacing w:before="240" w:after="240" w:line="348" w:lineRule="auto"/>
      <w:ind w:left="907" w:hanging="907"/>
      <w:jc w:val="left"/>
    </w:pPr>
    <w:rPr>
      <w:rFonts w:ascii="华文细黑" w:hAnsi="华文细黑" w:eastAsia="宋体"/>
      <w:b/>
      <w:kern w:val="0"/>
      <w:szCs w:val="44"/>
    </w:rPr>
  </w:style>
  <w:style w:type="paragraph" w:customStyle="1" w:styleId="450">
    <w:name w:val="纯文本1"/>
    <w:basedOn w:val="1"/>
    <w:link w:val="451"/>
    <w:autoRedefine/>
    <w:qFormat/>
    <w:uiPriority w:val="0"/>
    <w:rPr>
      <w:rFonts w:ascii="宋体" w:hAnsi="Times New Roman" w:eastAsia="宋体" w:cs="Times New Roman"/>
      <w:kern w:val="0"/>
      <w:sz w:val="20"/>
      <w:szCs w:val="21"/>
    </w:rPr>
  </w:style>
  <w:style w:type="character" w:customStyle="1" w:styleId="451">
    <w:name w:val="纯文本 Char"/>
    <w:link w:val="450"/>
    <w:autoRedefine/>
    <w:qFormat/>
    <w:uiPriority w:val="0"/>
    <w:rPr>
      <w:rFonts w:ascii="宋体" w:hAnsi="Times New Roman" w:eastAsia="宋体" w:cs="Times New Roman"/>
      <w:kern w:val="0"/>
      <w:sz w:val="20"/>
      <w:szCs w:val="21"/>
    </w:rPr>
  </w:style>
  <w:style w:type="paragraph" w:customStyle="1" w:styleId="452">
    <w:name w:val="保留正文"/>
    <w:basedOn w:val="33"/>
    <w:autoRedefine/>
    <w:qFormat/>
    <w:uiPriority w:val="0"/>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453">
    <w:name w:val="Char Char2"/>
    <w:basedOn w:val="1"/>
    <w:autoRedefine/>
    <w:qFormat/>
    <w:uiPriority w:val="0"/>
    <w:rPr>
      <w:rFonts w:ascii="宋体" w:hAnsi="Times New Roman" w:eastAsia="宋体" w:cs="Times New Roman"/>
      <w:b/>
      <w:sz w:val="28"/>
      <w:szCs w:val="28"/>
    </w:rPr>
  </w:style>
  <w:style w:type="paragraph" w:customStyle="1" w:styleId="454">
    <w:name w:val="文档结构图1"/>
    <w:basedOn w:val="1"/>
    <w:link w:val="455"/>
    <w:autoRedefine/>
    <w:qFormat/>
    <w:uiPriority w:val="0"/>
    <w:rPr>
      <w:rFonts w:ascii="宋体" w:hAnsi="Times New Roman" w:eastAsia="宋体" w:cs="Times New Roman"/>
      <w:kern w:val="0"/>
      <w:sz w:val="18"/>
      <w:szCs w:val="18"/>
    </w:rPr>
  </w:style>
  <w:style w:type="character" w:customStyle="1" w:styleId="455">
    <w:name w:val="文档结构图 Char"/>
    <w:link w:val="454"/>
    <w:autoRedefine/>
    <w:qFormat/>
    <w:uiPriority w:val="0"/>
    <w:rPr>
      <w:rFonts w:ascii="宋体" w:hAnsi="Times New Roman" w:eastAsia="宋体" w:cs="Times New Roman"/>
      <w:kern w:val="0"/>
      <w:sz w:val="18"/>
      <w:szCs w:val="18"/>
    </w:rPr>
  </w:style>
  <w:style w:type="paragraph" w:customStyle="1" w:styleId="456">
    <w:name w:val="填表"/>
    <w:autoRedefine/>
    <w:qFormat/>
    <w:uiPriority w:val="0"/>
    <w:rPr>
      <w:rFonts w:ascii="Times New Roman" w:hAnsi="Times New Roman" w:eastAsia="宋体" w:cs="Times New Roman"/>
      <w:kern w:val="2"/>
      <w:sz w:val="18"/>
      <w:szCs w:val="21"/>
      <w:lang w:val="en-US" w:eastAsia="zh-CN" w:bidi="ar-SA"/>
    </w:rPr>
  </w:style>
  <w:style w:type="paragraph" w:customStyle="1" w:styleId="457">
    <w:name w:val="Char Char Char Char Char Char Char Char Char Char"/>
    <w:basedOn w:val="1"/>
    <w:autoRedefine/>
    <w:qFormat/>
    <w:uiPriority w:val="0"/>
    <w:pPr>
      <w:widowControl/>
      <w:spacing w:after="160" w:line="240" w:lineRule="exact"/>
      <w:jc w:val="left"/>
    </w:pPr>
    <w:rPr>
      <w:rFonts w:ascii="Arial" w:hAnsi="Arial" w:eastAsia="宋体" w:cs="Times New Roman"/>
      <w:szCs w:val="24"/>
    </w:rPr>
  </w:style>
  <w:style w:type="paragraph" w:customStyle="1" w:styleId="458">
    <w:name w:val="默认段落字体 Para Char Char Char Char"/>
    <w:basedOn w:val="1"/>
    <w:autoRedefine/>
    <w:qFormat/>
    <w:uiPriority w:val="0"/>
    <w:pPr>
      <w:snapToGrid w:val="0"/>
    </w:pPr>
    <w:rPr>
      <w:rFonts w:ascii="华文细黑" w:hAnsi="华文细黑" w:eastAsia="宋体" w:cs="Times New Roman"/>
      <w:b/>
      <w:bCs/>
      <w:sz w:val="28"/>
      <w:szCs w:val="44"/>
    </w:rPr>
  </w:style>
  <w:style w:type="paragraph" w:customStyle="1" w:styleId="459">
    <w:name w:val="d_post_content"/>
    <w:basedOn w:val="1"/>
    <w:qFormat/>
    <w:uiPriority w:val="0"/>
    <w:pPr>
      <w:widowControl/>
      <w:wordWrap w:val="0"/>
      <w:spacing w:before="100" w:beforeAutospacing="1" w:after="100" w:afterAutospacing="1" w:line="360" w:lineRule="atLeast"/>
      <w:jc w:val="left"/>
    </w:pPr>
    <w:rPr>
      <w:rFonts w:ascii="宋体" w:hAnsi="宋体" w:eastAsia="宋体" w:cs="宋体"/>
      <w:kern w:val="0"/>
      <w:szCs w:val="21"/>
    </w:rPr>
  </w:style>
  <w:style w:type="paragraph" w:customStyle="1" w:styleId="460">
    <w:name w:val="文件正文"/>
    <w:basedOn w:val="1"/>
    <w:link w:val="461"/>
    <w:qFormat/>
    <w:uiPriority w:val="0"/>
    <w:pPr>
      <w:spacing w:line="360" w:lineRule="auto"/>
      <w:ind w:firstLine="480" w:firstLineChars="200"/>
    </w:pPr>
    <w:rPr>
      <w:rFonts w:ascii="Times New Roman" w:hAnsi="Times New Roman" w:eastAsia="仿宋_GB2312" w:cs="Times New Roman"/>
      <w:sz w:val="24"/>
      <w:szCs w:val="20"/>
    </w:rPr>
  </w:style>
  <w:style w:type="character" w:customStyle="1" w:styleId="461">
    <w:name w:val="文件正文 Char Char"/>
    <w:link w:val="460"/>
    <w:autoRedefine/>
    <w:qFormat/>
    <w:uiPriority w:val="0"/>
    <w:rPr>
      <w:rFonts w:ascii="Times New Roman" w:hAnsi="Times New Roman" w:eastAsia="仿宋_GB2312" w:cs="Times New Roman"/>
      <w:sz w:val="24"/>
      <w:szCs w:val="20"/>
    </w:rPr>
  </w:style>
  <w:style w:type="paragraph" w:customStyle="1" w:styleId="462">
    <w:name w:val="Char Char2 Char"/>
    <w:basedOn w:val="1"/>
    <w:autoRedefine/>
    <w:qFormat/>
    <w:uiPriority w:val="0"/>
    <w:rPr>
      <w:rFonts w:ascii="宋体" w:hAnsi="宋体" w:eastAsia="宋体" w:cs="Times New Roman"/>
      <w:b/>
      <w:sz w:val="28"/>
      <w:szCs w:val="28"/>
    </w:rPr>
  </w:style>
  <w:style w:type="character" w:customStyle="1" w:styleId="463">
    <w:name w:val="c lh15"/>
    <w:qFormat/>
    <w:uiPriority w:val="0"/>
  </w:style>
  <w:style w:type="character" w:customStyle="1" w:styleId="464">
    <w:name w:val="px14"/>
    <w:autoRedefine/>
    <w:qFormat/>
    <w:uiPriority w:val="0"/>
  </w:style>
  <w:style w:type="character" w:customStyle="1" w:styleId="465">
    <w:name w:val="标题2"/>
    <w:autoRedefine/>
    <w:qFormat/>
    <w:uiPriority w:val="0"/>
  </w:style>
  <w:style w:type="paragraph" w:customStyle="1" w:styleId="466">
    <w:name w:val="2册标题3"/>
    <w:basedOn w:val="1"/>
    <w:next w:val="1"/>
    <w:qFormat/>
    <w:uiPriority w:val="0"/>
    <w:pPr>
      <w:spacing w:beforeLines="50" w:afterLines="50"/>
      <w:ind w:left="100" w:leftChars="100"/>
      <w:outlineLvl w:val="2"/>
    </w:pPr>
    <w:rPr>
      <w:rFonts w:ascii="Arial" w:hAnsi="Arial" w:eastAsia="黑体" w:cs="Times New Roman"/>
      <w:sz w:val="28"/>
      <w:szCs w:val="20"/>
    </w:rPr>
  </w:style>
  <w:style w:type="paragraph" w:customStyle="1" w:styleId="467">
    <w:name w:val="2册标题5"/>
    <w:basedOn w:val="468"/>
    <w:next w:val="1"/>
    <w:autoRedefine/>
    <w:qFormat/>
    <w:uiPriority w:val="0"/>
    <w:pPr>
      <w:ind w:left="720" w:leftChars="300"/>
      <w:outlineLvl w:val="4"/>
    </w:pPr>
    <w:rPr>
      <w:rFonts w:eastAsia="楷体_GB2312"/>
      <w:b/>
    </w:rPr>
  </w:style>
  <w:style w:type="paragraph" w:customStyle="1" w:styleId="468">
    <w:name w:val="2册标题4"/>
    <w:basedOn w:val="1"/>
    <w:next w:val="1"/>
    <w:autoRedefine/>
    <w:qFormat/>
    <w:uiPriority w:val="0"/>
    <w:pPr>
      <w:spacing w:beforeLines="50" w:afterLines="50"/>
      <w:ind w:left="480" w:leftChars="200"/>
      <w:outlineLvl w:val="3"/>
    </w:pPr>
    <w:rPr>
      <w:rFonts w:ascii="Arial" w:hAnsi="Arial" w:eastAsia="黑体" w:cs="Times New Roman"/>
      <w:sz w:val="24"/>
      <w:szCs w:val="20"/>
    </w:rPr>
  </w:style>
  <w:style w:type="paragraph" w:customStyle="1" w:styleId="469">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cs="Times New Roman"/>
      <w:kern w:val="0"/>
      <w:sz w:val="26"/>
      <w:szCs w:val="20"/>
    </w:rPr>
  </w:style>
  <w:style w:type="paragraph" w:customStyle="1" w:styleId="4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471">
    <w:name w:val="表图名"/>
    <w:basedOn w:val="1"/>
    <w:autoRedefine/>
    <w:qFormat/>
    <w:uiPriority w:val="0"/>
    <w:pPr>
      <w:spacing w:line="360" w:lineRule="auto"/>
    </w:pPr>
    <w:rPr>
      <w:rFonts w:ascii="Arial" w:hAnsi="Arial" w:eastAsia="宋体" w:cs="Times New Roman"/>
      <w:sz w:val="24"/>
      <w:szCs w:val="20"/>
    </w:rPr>
  </w:style>
  <w:style w:type="paragraph" w:customStyle="1" w:styleId="472">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473">
    <w:name w:val="第12册用标题"/>
    <w:basedOn w:val="1"/>
    <w:next w:val="1"/>
    <w:autoRedefine/>
    <w:qFormat/>
    <w:uiPriority w:val="0"/>
    <w:pPr>
      <w:spacing w:beforeLines="50" w:afterLines="50"/>
      <w:jc w:val="center"/>
      <w:outlineLvl w:val="0"/>
    </w:pPr>
    <w:rPr>
      <w:rFonts w:ascii="Arial" w:hAnsi="Arial" w:eastAsia="黑体" w:cs="Times New Roman"/>
      <w:sz w:val="44"/>
      <w:szCs w:val="20"/>
    </w:rPr>
  </w:style>
  <w:style w:type="paragraph" w:customStyle="1" w:styleId="47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0"/>
      <w:szCs w:val="20"/>
    </w:rPr>
  </w:style>
  <w:style w:type="paragraph" w:customStyle="1" w:styleId="475">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4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477">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78">
    <w:name w:val="样式 ˎ̥ 左 首行缩进:  2 字符"/>
    <w:basedOn w:val="1"/>
    <w:qFormat/>
    <w:uiPriority w:val="0"/>
    <w:pPr>
      <w:spacing w:line="360" w:lineRule="auto"/>
      <w:ind w:firstLine="480" w:firstLineChars="200"/>
      <w:jc w:val="left"/>
    </w:pPr>
    <w:rPr>
      <w:rFonts w:ascii="ˎ̥" w:hAnsi="ˎ̥" w:eastAsia="宋体" w:cs="Times New Roman"/>
      <w:kern w:val="0"/>
      <w:sz w:val="24"/>
      <w:szCs w:val="20"/>
    </w:rPr>
  </w:style>
  <w:style w:type="paragraph" w:customStyle="1" w:styleId="479">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480">
    <w:name w:val="12册标题"/>
    <w:basedOn w:val="1"/>
    <w:next w:val="1"/>
    <w:qFormat/>
    <w:uiPriority w:val="0"/>
    <w:pPr>
      <w:spacing w:beforeLines="50" w:afterLines="50"/>
      <w:jc w:val="center"/>
      <w:outlineLvl w:val="0"/>
    </w:pPr>
    <w:rPr>
      <w:rFonts w:ascii="Arial" w:hAnsi="Arial" w:eastAsia="黑体" w:cs="Times New Roman"/>
      <w:sz w:val="44"/>
      <w:szCs w:val="20"/>
    </w:rPr>
  </w:style>
  <w:style w:type="paragraph" w:customStyle="1" w:styleId="481">
    <w:name w:val="xl3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482">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cs="Times New Roman"/>
      <w:kern w:val="0"/>
      <w:sz w:val="26"/>
      <w:szCs w:val="20"/>
    </w:rPr>
  </w:style>
  <w:style w:type="paragraph" w:customStyle="1" w:styleId="483">
    <w:name w:val="LED标题1"/>
    <w:basedOn w:val="1"/>
    <w:next w:val="1"/>
    <w:autoRedefine/>
    <w:qFormat/>
    <w:uiPriority w:val="0"/>
    <w:pPr>
      <w:spacing w:beforeLines="50" w:afterLines="50"/>
      <w:ind w:firstLine="320" w:firstLineChars="100"/>
      <w:jc w:val="center"/>
      <w:outlineLvl w:val="0"/>
    </w:pPr>
    <w:rPr>
      <w:rFonts w:ascii="Arial" w:hAnsi="Arial" w:eastAsia="黑体" w:cs="Times New Roman"/>
      <w:color w:val="FF0000"/>
      <w:sz w:val="32"/>
      <w:szCs w:val="20"/>
    </w:rPr>
  </w:style>
  <w:style w:type="paragraph" w:customStyle="1" w:styleId="48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485">
    <w:name w:val="2册标题1"/>
    <w:basedOn w:val="1"/>
    <w:next w:val="1"/>
    <w:autoRedefine/>
    <w:qFormat/>
    <w:uiPriority w:val="0"/>
    <w:pPr>
      <w:spacing w:beforeLines="50" w:afterLines="50"/>
      <w:jc w:val="center"/>
      <w:outlineLvl w:val="0"/>
    </w:pPr>
    <w:rPr>
      <w:rFonts w:ascii="Arial" w:hAnsi="Arial" w:eastAsia="黑体" w:cs="Times New Roman"/>
      <w:sz w:val="32"/>
      <w:szCs w:val="20"/>
    </w:rPr>
  </w:style>
  <w:style w:type="paragraph" w:customStyle="1" w:styleId="48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eastAsia="宋体" w:cs="Times New Roman"/>
      <w:kern w:val="0"/>
      <w:sz w:val="24"/>
      <w:szCs w:val="20"/>
    </w:rPr>
  </w:style>
  <w:style w:type="paragraph" w:customStyle="1" w:styleId="487">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48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489">
    <w:name w:val="1册标题3"/>
    <w:basedOn w:val="1"/>
    <w:next w:val="1"/>
    <w:autoRedefine/>
    <w:qFormat/>
    <w:uiPriority w:val="0"/>
    <w:pPr>
      <w:keepNext/>
      <w:keepLines/>
      <w:adjustRightInd w:val="0"/>
      <w:spacing w:beforeLines="50" w:afterLines="50"/>
      <w:textAlignment w:val="baseline"/>
      <w:outlineLvl w:val="2"/>
    </w:pPr>
    <w:rPr>
      <w:rFonts w:ascii="宋体" w:hAnsi="宋体" w:eastAsia="宋体" w:cs="Times New Roman"/>
      <w:b/>
      <w:kern w:val="0"/>
      <w:sz w:val="24"/>
      <w:szCs w:val="20"/>
    </w:rPr>
  </w:style>
  <w:style w:type="paragraph" w:customStyle="1" w:styleId="4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4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18"/>
      <w:szCs w:val="20"/>
    </w:rPr>
  </w:style>
  <w:style w:type="paragraph" w:customStyle="1" w:styleId="492">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49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cs="Times New Roman"/>
      <w:kern w:val="0"/>
      <w:sz w:val="20"/>
      <w:szCs w:val="20"/>
    </w:rPr>
  </w:style>
  <w:style w:type="paragraph" w:customStyle="1" w:styleId="49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cs="Times New Roman"/>
      <w:kern w:val="0"/>
      <w:sz w:val="24"/>
      <w:szCs w:val="20"/>
    </w:rPr>
  </w:style>
  <w:style w:type="paragraph" w:customStyle="1" w:styleId="495">
    <w:name w:val="Char2 Char Char Char Char Char Char"/>
    <w:basedOn w:val="1"/>
    <w:autoRedefine/>
    <w:qFormat/>
    <w:uiPriority w:val="0"/>
    <w:pPr>
      <w:adjustRightInd w:val="0"/>
      <w:spacing w:line="360" w:lineRule="auto"/>
    </w:pPr>
    <w:rPr>
      <w:rFonts w:ascii="Times New Roman" w:hAnsi="Times New Roman" w:eastAsia="宋体" w:cs="Times New Roman"/>
      <w:kern w:val="0"/>
      <w:sz w:val="24"/>
      <w:szCs w:val="20"/>
    </w:rPr>
  </w:style>
  <w:style w:type="paragraph" w:customStyle="1" w:styleId="496">
    <w:name w:val="1册标题1"/>
    <w:basedOn w:val="1"/>
    <w:next w:val="1"/>
    <w:autoRedefine/>
    <w:qFormat/>
    <w:uiPriority w:val="0"/>
    <w:pPr>
      <w:spacing w:beforeLines="50" w:afterLines="50"/>
      <w:jc w:val="center"/>
      <w:outlineLvl w:val="0"/>
    </w:pPr>
    <w:rPr>
      <w:rFonts w:ascii="宋体" w:hAnsi="宋体" w:eastAsia="宋体" w:cs="Times New Roman"/>
      <w:b/>
      <w:sz w:val="36"/>
      <w:szCs w:val="20"/>
    </w:rPr>
  </w:style>
  <w:style w:type="paragraph" w:customStyle="1" w:styleId="4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49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499">
    <w:name w:val="1册标题2"/>
    <w:basedOn w:val="5"/>
    <w:next w:val="1"/>
    <w:qFormat/>
    <w:uiPriority w:val="0"/>
    <w:pPr>
      <w:keepNext w:val="0"/>
      <w:keepLines w:val="0"/>
      <w:tabs>
        <w:tab w:val="clear" w:pos="426"/>
      </w:tabs>
      <w:spacing w:before="0" w:after="0" w:line="312" w:lineRule="auto"/>
      <w:jc w:val="center"/>
      <w:textAlignment w:val="auto"/>
      <w:outlineLvl w:val="9"/>
    </w:pPr>
    <w:rPr>
      <w:rFonts w:hAnsi="宋体"/>
      <w:b/>
      <w:kern w:val="2"/>
      <w:sz w:val="32"/>
    </w:rPr>
  </w:style>
  <w:style w:type="paragraph" w:customStyle="1" w:styleId="500">
    <w:name w:val="文字"/>
    <w:basedOn w:val="1"/>
    <w:autoRedefine/>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501">
    <w:name w:val="正文 2"/>
    <w:basedOn w:val="1"/>
    <w:autoRedefine/>
    <w:qFormat/>
    <w:uiPriority w:val="0"/>
    <w:pPr>
      <w:autoSpaceDE w:val="0"/>
      <w:autoSpaceDN w:val="0"/>
      <w:adjustRightInd w:val="0"/>
      <w:snapToGrid w:val="0"/>
      <w:spacing w:before="80" w:after="40" w:line="360" w:lineRule="auto"/>
      <w:ind w:left="1134"/>
      <w:jc w:val="left"/>
    </w:pPr>
    <w:rPr>
      <w:rFonts w:ascii="Times New Roman" w:hAnsi="Times New Roman" w:eastAsia="宋体" w:cs="Times New Roman"/>
      <w:kern w:val="0"/>
      <w:sz w:val="24"/>
      <w:szCs w:val="20"/>
    </w:rPr>
  </w:style>
  <w:style w:type="character" w:customStyle="1" w:styleId="502">
    <w:name w:val="h9point1"/>
    <w:autoRedefine/>
    <w:qFormat/>
    <w:uiPriority w:val="0"/>
    <w:rPr>
      <w:rFonts w:hint="eastAsia" w:ascii="宋体" w:hAnsi="宋体" w:eastAsia="宋体"/>
      <w:spacing w:val="360"/>
      <w:sz w:val="18"/>
      <w:szCs w:val="18"/>
    </w:rPr>
  </w:style>
  <w:style w:type="paragraph" w:customStyle="1" w:styleId="503">
    <w:name w:val="contentlabel"/>
    <w:basedOn w:val="1"/>
    <w:autoRedefine/>
    <w:qFormat/>
    <w:uiPriority w:val="0"/>
    <w:pPr>
      <w:widowControl/>
      <w:spacing w:before="32" w:after="100" w:afterAutospacing="1"/>
      <w:ind w:left="96"/>
      <w:jc w:val="left"/>
    </w:pPr>
    <w:rPr>
      <w:rFonts w:ascii="宋体" w:hAnsi="宋体" w:eastAsia="宋体" w:cs="宋体"/>
      <w:color w:val="336666"/>
      <w:kern w:val="0"/>
      <w:sz w:val="19"/>
      <w:szCs w:val="19"/>
    </w:rPr>
  </w:style>
  <w:style w:type="paragraph" w:customStyle="1" w:styleId="504">
    <w:name w:val="Char Char1 Char Char Char Char Char Char Char Char Char Char Char Char Char Char Char"/>
    <w:basedOn w:val="1"/>
    <w:autoRedefine/>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505">
    <w:name w:val="33"/>
    <w:basedOn w:val="1"/>
    <w:next w:val="43"/>
    <w:link w:val="506"/>
    <w:qFormat/>
    <w:uiPriority w:val="0"/>
    <w:pPr>
      <w:spacing w:before="120" w:after="120" w:line="500" w:lineRule="exact"/>
      <w:ind w:firstLine="551" w:firstLineChars="196"/>
    </w:pPr>
    <w:rPr>
      <w:rFonts w:ascii="幼圆" w:hAnsi="Times New Roman" w:eastAsia="幼圆" w:cs="Times New Roman"/>
      <w:b/>
      <w:bCs/>
      <w:sz w:val="28"/>
      <w:szCs w:val="28"/>
    </w:rPr>
  </w:style>
  <w:style w:type="character" w:customStyle="1" w:styleId="506">
    <w:name w:val="33 Char"/>
    <w:link w:val="505"/>
    <w:qFormat/>
    <w:uiPriority w:val="0"/>
    <w:rPr>
      <w:rFonts w:ascii="幼圆" w:hAnsi="Times New Roman" w:eastAsia="幼圆" w:cs="Times New Roman"/>
      <w:b/>
      <w:bCs/>
      <w:sz w:val="28"/>
      <w:szCs w:val="28"/>
    </w:rPr>
  </w:style>
  <w:style w:type="paragraph" w:customStyle="1" w:styleId="507">
    <w:name w:val="样式 样式 首行缩进:  2 字符 + 首行缩进:  2 字符"/>
    <w:basedOn w:val="508"/>
    <w:autoRedefine/>
    <w:qFormat/>
    <w:uiPriority w:val="0"/>
    <w:pPr>
      <w:ind w:firstLine="560"/>
    </w:pPr>
    <w:rPr>
      <w:sz w:val="24"/>
    </w:rPr>
  </w:style>
  <w:style w:type="paragraph" w:customStyle="1" w:styleId="508">
    <w:name w:val="样式 首行缩进:  2 字符"/>
    <w:basedOn w:val="1"/>
    <w:autoRedefine/>
    <w:qFormat/>
    <w:uiPriority w:val="0"/>
    <w:pPr>
      <w:spacing w:line="300" w:lineRule="auto"/>
      <w:ind w:firstLine="200" w:firstLineChars="200"/>
    </w:pPr>
    <w:rPr>
      <w:rFonts w:ascii="Times New Roman" w:hAnsi="Times New Roman" w:eastAsia="宋体" w:cs="宋体"/>
      <w:sz w:val="28"/>
      <w:szCs w:val="20"/>
    </w:rPr>
  </w:style>
  <w:style w:type="paragraph" w:customStyle="1" w:styleId="509">
    <w:name w:val="xl47"/>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left"/>
    </w:pPr>
    <w:rPr>
      <w:rFonts w:ascii="宋体" w:hAnsi="宋体" w:eastAsia="宋体" w:cs="宋体"/>
      <w:b/>
      <w:bCs/>
      <w:kern w:val="0"/>
      <w:sz w:val="18"/>
      <w:szCs w:val="18"/>
    </w:rPr>
  </w:style>
  <w:style w:type="paragraph" w:customStyle="1" w:styleId="510">
    <w:name w:val="xl48"/>
    <w:basedOn w:val="1"/>
    <w:autoRedefine/>
    <w:qFormat/>
    <w:uiPriority w:val="0"/>
    <w:pPr>
      <w:widowControl/>
      <w:pBdr>
        <w:top w:val="single" w:color="auto" w:sz="4" w:space="0"/>
        <w:bottom w:val="single" w:color="auto" w:sz="4" w:space="0"/>
      </w:pBdr>
      <w:shd w:val="clear" w:color="auto" w:fill="C0C0C0"/>
      <w:spacing w:before="100" w:beforeAutospacing="1" w:after="100" w:afterAutospacing="1"/>
      <w:jc w:val="left"/>
    </w:pPr>
    <w:rPr>
      <w:rFonts w:ascii="宋体" w:hAnsi="宋体" w:eastAsia="宋体" w:cs="宋体"/>
      <w:b/>
      <w:bCs/>
      <w:kern w:val="0"/>
      <w:sz w:val="18"/>
      <w:szCs w:val="18"/>
    </w:rPr>
  </w:style>
  <w:style w:type="paragraph" w:customStyle="1" w:styleId="511">
    <w:name w:val="xl49"/>
    <w:basedOn w:val="1"/>
    <w:autoRedefine/>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eastAsia="宋体" w:cs="宋体"/>
      <w:b/>
      <w:bCs/>
      <w:kern w:val="0"/>
      <w:sz w:val="18"/>
      <w:szCs w:val="18"/>
    </w:rPr>
  </w:style>
  <w:style w:type="paragraph" w:customStyle="1" w:styleId="512">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eastAsia="宋体" w:cs="宋体"/>
      <w:kern w:val="0"/>
      <w:sz w:val="18"/>
      <w:szCs w:val="18"/>
    </w:rPr>
  </w:style>
  <w:style w:type="paragraph" w:customStyle="1" w:styleId="513">
    <w:name w:val="xl5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eastAsia="宋体" w:cs="宋体"/>
      <w:b/>
      <w:bCs/>
      <w:kern w:val="0"/>
      <w:sz w:val="18"/>
      <w:szCs w:val="18"/>
    </w:rPr>
  </w:style>
  <w:style w:type="paragraph" w:customStyle="1" w:styleId="51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515">
    <w:name w:val="xl5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eastAsia="宋体" w:cs="宋体"/>
      <w:kern w:val="0"/>
      <w:sz w:val="18"/>
      <w:szCs w:val="18"/>
    </w:rPr>
  </w:style>
  <w:style w:type="paragraph" w:customStyle="1" w:styleId="516">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17">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18">
    <w:name w:val="xl5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519">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pPr>
    <w:rPr>
      <w:rFonts w:ascii="宋体" w:hAnsi="宋体" w:eastAsia="宋体" w:cs="宋体"/>
      <w:b/>
      <w:bCs/>
      <w:kern w:val="0"/>
      <w:sz w:val="18"/>
      <w:szCs w:val="18"/>
    </w:rPr>
  </w:style>
  <w:style w:type="paragraph" w:customStyle="1" w:styleId="520">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18"/>
      <w:szCs w:val="18"/>
    </w:rPr>
  </w:style>
  <w:style w:type="paragraph" w:customStyle="1" w:styleId="521">
    <w:name w:val="xl5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eastAsia="宋体" w:cs="宋体"/>
      <w:b/>
      <w:bCs/>
      <w:kern w:val="0"/>
      <w:sz w:val="18"/>
      <w:szCs w:val="18"/>
    </w:rPr>
  </w:style>
  <w:style w:type="paragraph" w:customStyle="1" w:styleId="522">
    <w:name w:val="xl60"/>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left"/>
    </w:pPr>
    <w:rPr>
      <w:rFonts w:ascii="宋体" w:hAnsi="宋体" w:eastAsia="宋体" w:cs="宋体"/>
      <w:b/>
      <w:bCs/>
      <w:kern w:val="0"/>
      <w:sz w:val="18"/>
      <w:szCs w:val="18"/>
    </w:rPr>
  </w:style>
  <w:style w:type="paragraph" w:customStyle="1" w:styleId="523">
    <w:name w:val="xl61"/>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left"/>
    </w:pPr>
    <w:rPr>
      <w:rFonts w:ascii="宋体" w:hAnsi="宋体" w:eastAsia="宋体" w:cs="宋体"/>
      <w:kern w:val="0"/>
      <w:sz w:val="18"/>
      <w:szCs w:val="18"/>
    </w:rPr>
  </w:style>
  <w:style w:type="paragraph" w:customStyle="1" w:styleId="524">
    <w:name w:val="xl62"/>
    <w:basedOn w:val="1"/>
    <w:qFormat/>
    <w:uiPriority w:val="0"/>
    <w:pPr>
      <w:widowControl/>
      <w:pBdr>
        <w:top w:val="single" w:color="auto" w:sz="4" w:space="0"/>
        <w:bottom w:val="single" w:color="auto" w:sz="4" w:space="0"/>
      </w:pBdr>
      <w:shd w:val="clear" w:color="auto" w:fill="C0C0C0"/>
      <w:spacing w:before="100" w:beforeAutospacing="1" w:after="100" w:afterAutospacing="1"/>
      <w:jc w:val="left"/>
    </w:pPr>
    <w:rPr>
      <w:rFonts w:ascii="宋体" w:hAnsi="宋体" w:eastAsia="宋体" w:cs="宋体"/>
      <w:kern w:val="0"/>
      <w:sz w:val="18"/>
      <w:szCs w:val="18"/>
    </w:rPr>
  </w:style>
  <w:style w:type="paragraph" w:customStyle="1" w:styleId="525">
    <w:name w:val="xl63"/>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eastAsia="宋体" w:cs="宋体"/>
      <w:kern w:val="0"/>
      <w:sz w:val="18"/>
      <w:szCs w:val="18"/>
    </w:rPr>
  </w:style>
  <w:style w:type="paragraph" w:customStyle="1" w:styleId="526">
    <w:name w:val="样式 段后: 0.25 行"/>
    <w:basedOn w:val="1"/>
    <w:autoRedefine/>
    <w:qFormat/>
    <w:uiPriority w:val="0"/>
    <w:pPr>
      <w:spacing w:afterLines="25" w:line="300" w:lineRule="auto"/>
      <w:ind w:firstLine="420" w:firstLineChars="200"/>
    </w:pPr>
    <w:rPr>
      <w:rFonts w:ascii="Arial" w:hAnsi="Arial" w:eastAsia="宋体" w:cs="宋体"/>
      <w:szCs w:val="20"/>
    </w:rPr>
  </w:style>
  <w:style w:type="paragraph" w:customStyle="1" w:styleId="527">
    <w:name w:val="默认段落字体 Para Char Char Char Char Char Char Char Char Char Char"/>
    <w:basedOn w:val="1"/>
    <w:autoRedefine/>
    <w:qFormat/>
    <w:uiPriority w:val="0"/>
    <w:rPr>
      <w:rFonts w:ascii="Tahoma" w:hAnsi="Tahoma" w:eastAsia="宋体" w:cs="Times New Roman"/>
      <w:sz w:val="24"/>
      <w:szCs w:val="20"/>
    </w:rPr>
  </w:style>
  <w:style w:type="paragraph" w:customStyle="1" w:styleId="528">
    <w:name w:val="默认段落字体 Para Char Char Char Char Char Char Char"/>
    <w:basedOn w:val="1"/>
    <w:autoRedefine/>
    <w:qFormat/>
    <w:uiPriority w:val="0"/>
    <w:rPr>
      <w:rFonts w:ascii="Tahoma" w:hAnsi="Tahoma" w:eastAsia="宋体" w:cs="Times New Roman"/>
      <w:sz w:val="24"/>
      <w:szCs w:val="20"/>
    </w:rPr>
  </w:style>
  <w:style w:type="character" w:customStyle="1" w:styleId="529">
    <w:name w:val="H6 Char"/>
    <w:autoRedefine/>
    <w:qFormat/>
    <w:uiPriority w:val="0"/>
    <w:rPr>
      <w:rFonts w:ascii="Arial" w:hAnsi="Arial" w:eastAsia="黑体"/>
      <w:b/>
      <w:kern w:val="2"/>
      <w:sz w:val="24"/>
    </w:rPr>
  </w:style>
  <w:style w:type="character" w:customStyle="1" w:styleId="530">
    <w:name w:val="L7 Char Char"/>
    <w:autoRedefine/>
    <w:qFormat/>
    <w:uiPriority w:val="0"/>
    <w:rPr>
      <w:b/>
      <w:kern w:val="2"/>
      <w:sz w:val="24"/>
    </w:rPr>
  </w:style>
  <w:style w:type="character" w:customStyle="1" w:styleId="531">
    <w:name w:val="Char Char17"/>
    <w:qFormat/>
    <w:uiPriority w:val="0"/>
    <w:rPr>
      <w:rFonts w:ascii="Arial" w:hAnsi="Arial" w:eastAsia="黑体"/>
      <w:kern w:val="2"/>
      <w:sz w:val="24"/>
    </w:rPr>
  </w:style>
  <w:style w:type="character" w:customStyle="1" w:styleId="532">
    <w:name w:val="Char Char16"/>
    <w:qFormat/>
    <w:uiPriority w:val="0"/>
    <w:rPr>
      <w:rFonts w:ascii="Arial" w:hAnsi="Arial" w:eastAsia="黑体"/>
      <w:kern w:val="2"/>
      <w:sz w:val="21"/>
    </w:rPr>
  </w:style>
  <w:style w:type="character" w:customStyle="1" w:styleId="533">
    <w:name w:val="HTML 预设格式 Char1"/>
    <w:autoRedefine/>
    <w:semiHidden/>
    <w:qFormat/>
    <w:uiPriority w:val="0"/>
    <w:rPr>
      <w:rFonts w:ascii="Courier New" w:hAnsi="Courier New" w:cs="Courier New"/>
      <w:kern w:val="2"/>
    </w:rPr>
  </w:style>
  <w:style w:type="character" w:customStyle="1" w:styleId="534">
    <w:name w:val="Char Char14"/>
    <w:autoRedefine/>
    <w:qFormat/>
    <w:uiPriority w:val="0"/>
    <w:rPr>
      <w:rFonts w:ascii="华康简标题宋" w:eastAsia="华康简标题宋"/>
      <w:kern w:val="2"/>
      <w:sz w:val="52"/>
    </w:rPr>
  </w:style>
  <w:style w:type="character" w:customStyle="1" w:styleId="535">
    <w:name w:val="h Char"/>
    <w:autoRedefine/>
    <w:qFormat/>
    <w:uiPriority w:val="0"/>
    <w:rPr>
      <w:rFonts w:ascii="宋体"/>
      <w:sz w:val="18"/>
    </w:rPr>
  </w:style>
  <w:style w:type="paragraph" w:customStyle="1" w:styleId="536">
    <w:name w:val="正式"/>
    <w:basedOn w:val="1"/>
    <w:autoRedefine/>
    <w:qFormat/>
    <w:uiPriority w:val="0"/>
    <w:pPr>
      <w:spacing w:line="360" w:lineRule="auto"/>
      <w:ind w:firstLine="560"/>
    </w:pPr>
    <w:rPr>
      <w:rFonts w:ascii="宋体" w:hAnsi="宋体" w:eastAsia="宋体" w:cs="Times New Roman"/>
      <w:sz w:val="28"/>
      <w:szCs w:val="24"/>
    </w:rPr>
  </w:style>
  <w:style w:type="paragraph" w:customStyle="1" w:styleId="537">
    <w:name w:val="样式 样式 (西文) 宋体 四号 行距: 1.5 倍行距 + 首行缩进:  2 字符"/>
    <w:basedOn w:val="1"/>
    <w:qFormat/>
    <w:uiPriority w:val="0"/>
    <w:pPr>
      <w:spacing w:line="360" w:lineRule="auto"/>
      <w:ind w:firstLine="560" w:firstLineChars="200"/>
    </w:pPr>
    <w:rPr>
      <w:rFonts w:ascii="宋体" w:hAnsi="宋体" w:eastAsia="宋体" w:cs="宋体"/>
      <w:sz w:val="28"/>
      <w:szCs w:val="20"/>
    </w:rPr>
  </w:style>
  <w:style w:type="character" w:customStyle="1" w:styleId="538">
    <w:name w:val="文件正文 Char Char Char"/>
    <w:autoRedefine/>
    <w:qFormat/>
    <w:uiPriority w:val="0"/>
    <w:rPr>
      <w:rFonts w:eastAsia="仿宋_GB2312"/>
      <w:kern w:val="2"/>
      <w:sz w:val="24"/>
    </w:rPr>
  </w:style>
  <w:style w:type="character" w:customStyle="1" w:styleId="539">
    <w:name w:val="33 Char Char"/>
    <w:qFormat/>
    <w:uiPriority w:val="0"/>
    <w:rPr>
      <w:rFonts w:ascii="幼圆" w:eastAsia="幼圆"/>
      <w:b/>
      <w:bCs/>
      <w:sz w:val="28"/>
      <w:szCs w:val="28"/>
    </w:rPr>
  </w:style>
  <w:style w:type="character" w:customStyle="1" w:styleId="540">
    <w:name w:val="表格 Char Char"/>
    <w:link w:val="541"/>
    <w:autoRedefine/>
    <w:qFormat/>
    <w:uiPriority w:val="0"/>
    <w:rPr>
      <w:rFonts w:ascii="宋体" w:hAnsi="宋体"/>
    </w:rPr>
  </w:style>
  <w:style w:type="paragraph" w:customStyle="1" w:styleId="541">
    <w:name w:val="表格"/>
    <w:basedOn w:val="1"/>
    <w:link w:val="540"/>
    <w:autoRedefine/>
    <w:qFormat/>
    <w:uiPriority w:val="0"/>
    <w:pPr>
      <w:snapToGrid w:val="0"/>
      <w:ind w:firstLine="38"/>
      <w:jc w:val="center"/>
    </w:pPr>
    <w:rPr>
      <w:rFonts w:ascii="宋体" w:hAnsi="宋体"/>
    </w:rPr>
  </w:style>
  <w:style w:type="character" w:customStyle="1" w:styleId="542">
    <w:name w:val="批注文字 Char1"/>
    <w:autoRedefine/>
    <w:qFormat/>
    <w:uiPriority w:val="99"/>
    <w:rPr>
      <w:rFonts w:ascii="Times New Roman" w:hAnsi="Times New Roman" w:eastAsia="宋体" w:cs="Times New Roman"/>
      <w:szCs w:val="24"/>
    </w:rPr>
  </w:style>
  <w:style w:type="character" w:customStyle="1" w:styleId="543">
    <w:name w:val="批注主题 Char1"/>
    <w:autoRedefine/>
    <w:semiHidden/>
    <w:qFormat/>
    <w:uiPriority w:val="0"/>
    <w:rPr>
      <w:rFonts w:ascii="Times New Roman" w:hAnsi="Times New Roman" w:eastAsia="宋体" w:cs="Times New Roman"/>
      <w:b/>
      <w:bCs/>
      <w:szCs w:val="24"/>
    </w:rPr>
  </w:style>
  <w:style w:type="character" w:customStyle="1" w:styleId="544">
    <w:name w:val="脚注文本 Char1"/>
    <w:autoRedefine/>
    <w:semiHidden/>
    <w:qFormat/>
    <w:uiPriority w:val="0"/>
    <w:rPr>
      <w:rFonts w:ascii="Times New Roman" w:hAnsi="Times New Roman" w:eastAsia="宋体" w:cs="Times New Roman"/>
      <w:sz w:val="18"/>
      <w:szCs w:val="18"/>
    </w:rPr>
  </w:style>
  <w:style w:type="character" w:customStyle="1" w:styleId="545">
    <w:name w:val="普通文字1 Char Char1"/>
    <w:qFormat/>
    <w:uiPriority w:val="0"/>
    <w:rPr>
      <w:rFonts w:ascii="宋体" w:hAnsi="Courier New"/>
      <w:kern w:val="2"/>
      <w:sz w:val="21"/>
    </w:rPr>
  </w:style>
  <w:style w:type="character" w:customStyle="1" w:styleId="546">
    <w:name w:val="标题 Char1"/>
    <w:autoRedefine/>
    <w:qFormat/>
    <w:uiPriority w:val="0"/>
    <w:rPr>
      <w:rFonts w:ascii="Cambria" w:hAnsi="Cambria" w:eastAsia="宋体" w:cs="Times New Roman"/>
      <w:b/>
      <w:bCs/>
      <w:sz w:val="32"/>
      <w:szCs w:val="32"/>
    </w:rPr>
  </w:style>
  <w:style w:type="paragraph" w:customStyle="1" w:styleId="547">
    <w:name w:val="列表内容"/>
    <w:basedOn w:val="1"/>
    <w:next w:val="1"/>
    <w:autoRedefine/>
    <w:qFormat/>
    <w:uiPriority w:val="0"/>
    <w:pPr>
      <w:widowControl/>
      <w:tabs>
        <w:tab w:val="left" w:pos="907"/>
        <w:tab w:val="left" w:pos="1271"/>
      </w:tabs>
      <w:ind w:left="907" w:hanging="907"/>
      <w:jc w:val="left"/>
    </w:pPr>
    <w:rPr>
      <w:rFonts w:ascii="Times New Roman" w:hAnsi="Times New Roman" w:eastAsia="宋体" w:cs="Times New Roman"/>
      <w:kern w:val="0"/>
      <w:sz w:val="18"/>
      <w:szCs w:val="24"/>
    </w:rPr>
  </w:style>
  <w:style w:type="paragraph" w:customStyle="1" w:styleId="548">
    <w:name w:val="p16"/>
    <w:basedOn w:val="1"/>
    <w:autoRedefine/>
    <w:qFormat/>
    <w:uiPriority w:val="99"/>
    <w:pPr>
      <w:widowControl/>
      <w:ind w:firstLine="420"/>
    </w:pPr>
    <w:rPr>
      <w:rFonts w:ascii="Arial Unicode MS" w:hAnsi="Arial Unicode MS" w:eastAsia="Arial Unicode MS" w:cs="Arial Unicode MS"/>
      <w:kern w:val="0"/>
      <w:sz w:val="32"/>
      <w:szCs w:val="32"/>
    </w:rPr>
  </w:style>
  <w:style w:type="character" w:customStyle="1" w:styleId="549">
    <w:name w:val="15"/>
    <w:autoRedefine/>
    <w:qFormat/>
    <w:uiPriority w:val="0"/>
    <w:rPr>
      <w:rFonts w:hint="default" w:ascii="Times New Roman" w:hAnsi="Times New Roman" w:cs="Times New Roman"/>
      <w:color w:val="0000FF"/>
      <w:u w:val="single"/>
    </w:rPr>
  </w:style>
  <w:style w:type="paragraph" w:customStyle="1" w:styleId="550">
    <w:name w:val="p15"/>
    <w:basedOn w:val="1"/>
    <w:qFormat/>
    <w:uiPriority w:val="0"/>
    <w:pPr>
      <w:widowControl/>
      <w:snapToGrid w:val="0"/>
      <w:ind w:left="420" w:hanging="420"/>
    </w:pPr>
    <w:rPr>
      <w:rFonts w:ascii="宋体" w:hAnsi="宋体" w:eastAsia="宋体" w:cs="宋体"/>
      <w:kern w:val="0"/>
      <w:szCs w:val="21"/>
    </w:rPr>
  </w:style>
  <w:style w:type="paragraph" w:customStyle="1" w:styleId="551">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4"/>
    </w:rPr>
  </w:style>
  <w:style w:type="paragraph" w:customStyle="1" w:styleId="55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3">
    <w:name w:val="样式1_0"/>
    <w:basedOn w:val="552"/>
    <w:autoRedefine/>
    <w:qFormat/>
    <w:uiPriority w:val="0"/>
    <w:pPr>
      <w:numPr>
        <w:ilvl w:val="0"/>
        <w:numId w:val="31"/>
      </w:numPr>
    </w:pPr>
    <w:rPr>
      <w:rFonts w:ascii="宋体" w:hAnsi="宋体"/>
      <w:szCs w:val="21"/>
    </w:rPr>
  </w:style>
  <w:style w:type="paragraph" w:customStyle="1" w:styleId="554">
    <w:name w:val="正文缩进_0"/>
    <w:basedOn w:val="552"/>
    <w:autoRedefine/>
    <w:qFormat/>
    <w:uiPriority w:val="0"/>
    <w:pPr>
      <w:ind w:firstLine="420"/>
    </w:pPr>
  </w:style>
  <w:style w:type="paragraph" w:customStyle="1" w:styleId="555">
    <w:name w:val="标题 2_1"/>
    <w:basedOn w:val="552"/>
    <w:next w:val="552"/>
    <w:autoRedefine/>
    <w:qFormat/>
    <w:uiPriority w:val="0"/>
    <w:pPr>
      <w:keepNext/>
      <w:keepLines/>
      <w:spacing w:before="260" w:after="260" w:line="412" w:lineRule="auto"/>
      <w:outlineLvl w:val="1"/>
    </w:pPr>
    <w:rPr>
      <w:rFonts w:ascii="Arial" w:hAnsi="Arial" w:eastAsia="黑体"/>
      <w:b/>
      <w:sz w:val="32"/>
    </w:rPr>
  </w:style>
  <w:style w:type="paragraph" w:customStyle="1" w:styleId="556">
    <w:name w:val="纯文本_1"/>
    <w:basedOn w:val="552"/>
    <w:autoRedefine/>
    <w:qFormat/>
    <w:uiPriority w:val="0"/>
    <w:rPr>
      <w:rFonts w:ascii="宋体"/>
      <w:szCs w:val="21"/>
    </w:rPr>
  </w:style>
  <w:style w:type="paragraph" w:customStyle="1" w:styleId="557">
    <w:name w:val="普通(网站)_0"/>
    <w:basedOn w:val="552"/>
    <w:autoRedefine/>
    <w:qFormat/>
    <w:uiPriority w:val="0"/>
    <w:pPr>
      <w:widowControl/>
      <w:spacing w:before="100" w:beforeAutospacing="1" w:after="100" w:afterAutospacing="1"/>
      <w:jc w:val="left"/>
    </w:pPr>
    <w:rPr>
      <w:rFonts w:ascii="宋体"/>
      <w:kern w:val="0"/>
      <w:sz w:val="24"/>
      <w:szCs w:val="24"/>
      <w:lang w:eastAsia="en-US"/>
    </w:rPr>
  </w:style>
  <w:style w:type="character" w:customStyle="1" w:styleId="558">
    <w:name w:val="Char Char15"/>
    <w:autoRedefine/>
    <w:qFormat/>
    <w:uiPriority w:val="0"/>
    <w:rPr>
      <w:rFonts w:ascii="宋体" w:hAnsi="宋体"/>
      <w:sz w:val="24"/>
    </w:rPr>
  </w:style>
  <w:style w:type="character" w:customStyle="1" w:styleId="559">
    <w:name w:val="Char Char13"/>
    <w:autoRedefine/>
    <w:qFormat/>
    <w:uiPriority w:val="0"/>
    <w:rPr>
      <w:rFonts w:ascii="宋体" w:hAnsi="宋体"/>
      <w:b/>
      <w:kern w:val="2"/>
      <w:sz w:val="21"/>
    </w:rPr>
  </w:style>
  <w:style w:type="character" w:customStyle="1" w:styleId="560">
    <w:name w:val="Char Char10"/>
    <w:autoRedefine/>
    <w:qFormat/>
    <w:uiPriority w:val="0"/>
    <w:rPr>
      <w:rFonts w:ascii="宋体"/>
      <w:sz w:val="28"/>
    </w:rPr>
  </w:style>
  <w:style w:type="character" w:customStyle="1" w:styleId="561">
    <w:name w:val="正文缩进2格 Char"/>
    <w:link w:val="562"/>
    <w:autoRedefine/>
    <w:qFormat/>
    <w:uiPriority w:val="0"/>
    <w:rPr>
      <w:rFonts w:ascii="仿宋_GB2312" w:hAnsi="宋体" w:eastAsia="仿宋_GB2312"/>
      <w:sz w:val="31"/>
    </w:rPr>
  </w:style>
  <w:style w:type="paragraph" w:customStyle="1" w:styleId="562">
    <w:name w:val="正文缩进2格"/>
    <w:basedOn w:val="1"/>
    <w:link w:val="561"/>
    <w:autoRedefine/>
    <w:qFormat/>
    <w:uiPriority w:val="0"/>
    <w:pPr>
      <w:spacing w:line="600" w:lineRule="exact"/>
      <w:ind w:firstLine="639" w:firstLineChars="206"/>
    </w:pPr>
    <w:rPr>
      <w:rFonts w:ascii="仿宋_GB2312" w:hAnsi="宋体" w:eastAsia="仿宋_GB2312"/>
      <w:sz w:val="31"/>
    </w:rPr>
  </w:style>
  <w:style w:type="character" w:customStyle="1" w:styleId="563">
    <w:name w:val="style5"/>
    <w:autoRedefine/>
    <w:qFormat/>
    <w:uiPriority w:val="0"/>
  </w:style>
  <w:style w:type="character" w:customStyle="1" w:styleId="564">
    <w:name w:val="样式 标题 3 + 小四 Char"/>
    <w:qFormat/>
    <w:uiPriority w:val="0"/>
    <w:rPr>
      <w:rFonts w:ascii="宋体" w:hAnsi="宋体" w:eastAsia="宋体" w:cs="Arial"/>
      <w:b/>
      <w:bCs/>
      <w:smallCaps/>
      <w:kern w:val="2"/>
      <w:sz w:val="24"/>
      <w:szCs w:val="24"/>
      <w:lang w:val="en-US" w:eastAsia="zh-CN" w:bidi="ar-SA"/>
    </w:rPr>
  </w:style>
  <w:style w:type="paragraph" w:customStyle="1" w:styleId="565">
    <w:name w:val="font5141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66">
    <w:name w:val="xl7314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character" w:customStyle="1" w:styleId="567">
    <w:name w:val="标题 1.1 Char1"/>
    <w:autoRedefine/>
    <w:qFormat/>
    <w:uiPriority w:val="0"/>
    <w:rPr>
      <w:rFonts w:ascii="Arial" w:hAnsi="Arial" w:eastAsia="黑体"/>
      <w:b/>
      <w:bCs/>
      <w:kern w:val="2"/>
      <w:sz w:val="32"/>
      <w:szCs w:val="32"/>
      <w:lang w:val="en-US" w:eastAsia="zh-CN" w:bidi="ar-SA"/>
    </w:rPr>
  </w:style>
  <w:style w:type="paragraph" w:customStyle="1" w:styleId="568">
    <w:name w:val="TOC 标题3"/>
    <w:basedOn w:val="3"/>
    <w:next w:val="1"/>
    <w:autoRedefine/>
    <w:qFormat/>
    <w:uiPriority w:val="0"/>
    <w:pPr>
      <w:keepNext/>
      <w:keepLines/>
      <w:widowControl/>
      <w:tabs>
        <w:tab w:val="clear" w:pos="426"/>
      </w:tabs>
      <w:spacing w:before="480" w:after="0" w:line="276" w:lineRule="auto"/>
      <w:jc w:val="left"/>
      <w:outlineLvl w:val="9"/>
    </w:pPr>
    <w:rPr>
      <w:rFonts w:ascii="Cambria" w:hAnsi="Cambria" w:eastAsia="宋体"/>
      <w:b/>
      <w:color w:val="365F91"/>
      <w:kern w:val="0"/>
    </w:rPr>
  </w:style>
  <w:style w:type="character" w:customStyle="1" w:styleId="569">
    <w:name w:val="标题 3.1 Char"/>
    <w:link w:val="570"/>
    <w:autoRedefine/>
    <w:qFormat/>
    <w:uiPriority w:val="0"/>
    <w:rPr>
      <w:rFonts w:ascii="宋体" w:hAnsi="宋体"/>
      <w:b/>
      <w:color w:val="FF0000"/>
      <w:sz w:val="32"/>
    </w:rPr>
  </w:style>
  <w:style w:type="paragraph" w:customStyle="1" w:styleId="570">
    <w:name w:val="标题 3.1"/>
    <w:basedOn w:val="4"/>
    <w:link w:val="569"/>
    <w:qFormat/>
    <w:uiPriority w:val="0"/>
    <w:pPr>
      <w:tabs>
        <w:tab w:val="left" w:pos="1440"/>
        <w:tab w:val="left" w:pos="1620"/>
      </w:tabs>
      <w:spacing w:line="600" w:lineRule="exact"/>
    </w:pPr>
    <w:rPr>
      <w:rFonts w:hAnsi="宋体" w:eastAsiaTheme="minorEastAsia" w:cstheme="minorBidi"/>
      <w:b/>
      <w:bCs w:val="0"/>
      <w:color w:val="FF0000"/>
      <w:sz w:val="32"/>
      <w:szCs w:val="22"/>
    </w:rPr>
  </w:style>
  <w:style w:type="character" w:customStyle="1" w:styleId="571">
    <w:name w:val="文件正文 Char"/>
    <w:qFormat/>
    <w:uiPriority w:val="0"/>
    <w:rPr>
      <w:rFonts w:eastAsia="仿宋_GB2312"/>
      <w:kern w:val="2"/>
      <w:sz w:val="24"/>
    </w:rPr>
  </w:style>
  <w:style w:type="paragraph" w:customStyle="1" w:styleId="572">
    <w:name w:val="Char Char1"/>
    <w:basedOn w:val="1"/>
    <w:autoRedefine/>
    <w:qFormat/>
    <w:uiPriority w:val="0"/>
    <w:pPr>
      <w:widowControl/>
      <w:spacing w:after="160" w:line="240" w:lineRule="exact"/>
      <w:jc w:val="left"/>
    </w:pPr>
    <w:rPr>
      <w:rFonts w:ascii="Arial" w:hAnsi="Arial" w:eastAsia="宋体" w:cs="Times New Roman"/>
      <w:kern w:val="0"/>
      <w:sz w:val="20"/>
      <w:szCs w:val="20"/>
      <w:lang w:val="nl-NL" w:eastAsia="en-GB"/>
    </w:rPr>
  </w:style>
  <w:style w:type="paragraph" w:customStyle="1" w:styleId="573">
    <w:name w:val="Char Char Char Char Char Char1 Char"/>
    <w:basedOn w:val="1"/>
    <w:autoRedefine/>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574">
    <w:name w:val="正文1 Char"/>
    <w:autoRedefine/>
    <w:qFormat/>
    <w:uiPriority w:val="0"/>
    <w:rPr>
      <w:rFonts w:ascii="宋体" w:hAnsi="宋体" w:cs="宋体"/>
      <w:sz w:val="21"/>
    </w:rPr>
  </w:style>
  <w:style w:type="character" w:customStyle="1" w:styleId="575">
    <w:name w:val="标题 2 Char Char Char Char"/>
    <w:autoRedefine/>
    <w:qFormat/>
    <w:uiPriority w:val="0"/>
    <w:rPr>
      <w:rFonts w:ascii="Arial" w:hAnsi="Arial" w:eastAsia="黑体"/>
      <w:b/>
      <w:bCs/>
      <w:kern w:val="2"/>
      <w:sz w:val="32"/>
      <w:szCs w:val="32"/>
      <w:lang w:val="en-US" w:eastAsia="zh-CN" w:bidi="ar-SA"/>
    </w:rPr>
  </w:style>
  <w:style w:type="paragraph" w:customStyle="1" w:styleId="576">
    <w:name w:val="表中文字"/>
    <w:basedOn w:val="1"/>
    <w:autoRedefine/>
    <w:qFormat/>
    <w:uiPriority w:val="0"/>
    <w:pPr>
      <w:widowControl/>
    </w:pPr>
    <w:rPr>
      <w:rFonts w:ascii="Arial" w:hAnsi="Arial" w:eastAsia="宋体" w:cs="Times New Roman"/>
      <w:szCs w:val="20"/>
    </w:rPr>
  </w:style>
  <w:style w:type="paragraph" w:customStyle="1" w:styleId="577">
    <w:name w:val="样式 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8">
    <w:name w:val="Text Char"/>
    <w:link w:val="579"/>
    <w:autoRedefine/>
    <w:qFormat/>
    <w:uiPriority w:val="0"/>
    <w:rPr>
      <w:rFonts w:ascii="Calibri" w:hAnsi="Calibri" w:eastAsia="微软雅黑 Light"/>
      <w:sz w:val="24"/>
      <w:szCs w:val="28"/>
    </w:rPr>
  </w:style>
  <w:style w:type="paragraph" w:customStyle="1" w:styleId="579">
    <w:name w:val="Text"/>
    <w:basedOn w:val="1"/>
    <w:link w:val="578"/>
    <w:autoRedefine/>
    <w:qFormat/>
    <w:uiPriority w:val="0"/>
    <w:pPr>
      <w:adjustRightInd w:val="0"/>
      <w:snapToGrid w:val="0"/>
      <w:ind w:firstLine="200" w:firstLineChars="200"/>
    </w:pPr>
    <w:rPr>
      <w:rFonts w:ascii="Calibri" w:hAnsi="Calibri" w:eastAsia="微软雅黑 Light"/>
      <w:sz w:val="24"/>
      <w:szCs w:val="28"/>
    </w:rPr>
  </w:style>
  <w:style w:type="paragraph" w:customStyle="1" w:styleId="580">
    <w:name w:val="列表段落1"/>
    <w:basedOn w:val="1"/>
    <w:autoRedefine/>
    <w:qFormat/>
    <w:uiPriority w:val="0"/>
    <w:pPr>
      <w:ind w:firstLine="200" w:firstLineChars="200"/>
    </w:pPr>
    <w:rPr>
      <w:rFonts w:ascii="Calibri" w:hAnsi="Calibri" w:eastAsia="宋体" w:cs="Times New Roman"/>
      <w:kern w:val="0"/>
      <w:sz w:val="24"/>
      <w:szCs w:val="24"/>
    </w:rPr>
  </w:style>
  <w:style w:type="paragraph" w:customStyle="1" w:styleId="581">
    <w:name w:val="样式 正文缩进表正文正文非缩进特点段1四号正文不缩进标题4??????????ALT+Z水上软件特点 ...4"/>
    <w:basedOn w:val="8"/>
    <w:autoRedefine/>
    <w:qFormat/>
    <w:uiPriority w:val="0"/>
    <w:pPr>
      <w:widowControl w:val="0"/>
      <w:shd w:val="clear" w:color="auto" w:fill="auto"/>
      <w:tabs>
        <w:tab w:val="clear" w:pos="426"/>
      </w:tabs>
      <w:adjustRightInd/>
      <w:snapToGrid/>
      <w:ind w:firstLine="200" w:firstLineChars="200"/>
    </w:pPr>
    <w:rPr>
      <w:rFonts w:cs="宋体"/>
      <w:color w:val="000000"/>
    </w:rPr>
  </w:style>
  <w:style w:type="paragraph" w:customStyle="1" w:styleId="582">
    <w:name w:val="正文！！！"/>
    <w:basedOn w:val="1"/>
    <w:autoRedefine/>
    <w:qFormat/>
    <w:uiPriority w:val="0"/>
    <w:pPr>
      <w:spacing w:line="360" w:lineRule="auto"/>
      <w:ind w:firstLine="420" w:firstLineChars="200"/>
    </w:pPr>
    <w:rPr>
      <w:rFonts w:ascii="Arial" w:hAnsi="Arial" w:eastAsia="微软雅黑" w:cs="宋体"/>
      <w:sz w:val="24"/>
      <w:szCs w:val="20"/>
    </w:rPr>
  </w:style>
  <w:style w:type="paragraph" w:customStyle="1" w:styleId="583">
    <w:name w:val="样式 正文缩进表正文正文非缩进特点段1四号正文不缩进标题4??????????ALT+Z水上软件特点 ..."/>
    <w:basedOn w:val="8"/>
    <w:autoRedefine/>
    <w:qFormat/>
    <w:uiPriority w:val="0"/>
    <w:pPr>
      <w:widowControl w:val="0"/>
      <w:shd w:val="clear" w:color="auto" w:fill="auto"/>
      <w:tabs>
        <w:tab w:val="clear" w:pos="426"/>
      </w:tabs>
      <w:adjustRightInd/>
      <w:snapToGrid/>
      <w:ind w:firstLine="200" w:firstLineChars="200"/>
    </w:pPr>
    <w:rPr>
      <w:rFonts w:cs="宋体"/>
    </w:rPr>
  </w:style>
  <w:style w:type="table" w:customStyle="1" w:styleId="584">
    <w:name w:val="网格型1"/>
    <w:basedOn w:val="86"/>
    <w:autoRedefine/>
    <w:qFormat/>
    <w:uiPriority w:val="0"/>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5">
    <w:name w:val="_Style 565"/>
    <w:autoRedefine/>
    <w:unhideWhenUsed/>
    <w:qFormat/>
    <w:uiPriority w:val="99"/>
    <w:rPr>
      <w:rFonts w:ascii="宋体" w:hAnsi="Times New Roman" w:eastAsia="宋体" w:cs="宋体"/>
      <w:sz w:val="21"/>
      <w:szCs w:val="24"/>
      <w:lang w:val="en-US" w:eastAsia="zh-CN" w:bidi="ar-SA"/>
    </w:rPr>
  </w:style>
  <w:style w:type="paragraph" w:customStyle="1" w:styleId="586">
    <w:name w:val="样式 2 10 磅"/>
    <w:next w:val="58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7">
    <w:name w:val="样式 9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8">
    <w:name w:val="样式 4 10 磅"/>
    <w:next w:val="58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9">
    <w:name w:val="样式 9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样式 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样式 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2">
    <w:name w:val="样式 419 10 磅"/>
    <w:next w:val="5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3">
    <w:name w:val="样式 51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样式 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样式 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样式 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7">
    <w:name w:val="样式 1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8">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9">
    <w:name w:val="样式 1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0">
    <w:name w:val="样式 26 10 磅"/>
    <w:next w:val="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样式 11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2">
    <w:name w:val="样式 27 10 磅"/>
    <w:next w:val="6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样式 11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样式 1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5">
    <w:name w:val="样式 1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6">
    <w:name w:val="样式 1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7">
    <w:name w:val="样式 1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8">
    <w:name w:val="样式 17 10 磅"/>
    <w:autoRedefine/>
    <w:qFormat/>
    <w:uiPriority w:val="0"/>
    <w:pPr>
      <w:wordWrap w:val="0"/>
      <w:spacing w:before="100" w:beforeAutospacing="1" w:after="100" w:afterAutospacing="1" w:line="360" w:lineRule="atLeast"/>
    </w:pPr>
    <w:rPr>
      <w:rFonts w:ascii="宋体" w:hAnsi="Times New Roman" w:eastAsia="宋体" w:cs="宋体"/>
      <w:sz w:val="21"/>
      <w:szCs w:val="21"/>
      <w:lang w:val="en-US" w:eastAsia="zh-CN" w:bidi="ar-SA"/>
    </w:rPr>
  </w:style>
  <w:style w:type="paragraph" w:customStyle="1" w:styleId="609">
    <w:name w:val="样式 1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样式 1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1">
    <w:name w:val="样式 2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2">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3">
    <w:name w:val="样式 2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样式 2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5">
    <w:name w:val="样式 2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6">
    <w:name w:val="样式 2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7">
    <w:name w:val="样式 28 10 磅"/>
    <w:autoRedefine/>
    <w:qFormat/>
    <w:uiPriority w:val="0"/>
    <w:pPr>
      <w:wordWrap w:val="0"/>
      <w:spacing w:before="100" w:beforeAutospacing="1" w:after="100" w:afterAutospacing="1" w:line="360" w:lineRule="atLeast"/>
    </w:pPr>
    <w:rPr>
      <w:rFonts w:ascii="宋体" w:hAnsi="Times New Roman" w:eastAsia="宋体" w:cs="宋体"/>
      <w:sz w:val="21"/>
      <w:szCs w:val="21"/>
      <w:lang w:val="en-US" w:eastAsia="zh-CN" w:bidi="ar-SA"/>
    </w:rPr>
  </w:style>
  <w:style w:type="paragraph" w:customStyle="1" w:styleId="618">
    <w:name w:val="样式 2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9">
    <w:name w:val="样式 30 10 磅"/>
    <w:autoRedefine/>
    <w:qFormat/>
    <w:uiPriority w:val="0"/>
    <w:pPr>
      <w:wordWrap w:val="0"/>
      <w:spacing w:before="100" w:beforeAutospacing="1" w:after="100" w:afterAutospacing="1" w:line="360" w:lineRule="atLeast"/>
    </w:pPr>
    <w:rPr>
      <w:rFonts w:ascii="宋体" w:hAnsi="Times New Roman" w:eastAsia="宋体" w:cs="宋体"/>
      <w:sz w:val="21"/>
      <w:szCs w:val="21"/>
      <w:lang w:val="en-US" w:eastAsia="zh-CN" w:bidi="ar-SA"/>
    </w:rPr>
  </w:style>
  <w:style w:type="paragraph" w:customStyle="1" w:styleId="620">
    <w:name w:val="样式 31 10 磅"/>
    <w:autoRedefine/>
    <w:qFormat/>
    <w:uiPriority w:val="0"/>
    <w:pPr>
      <w:wordWrap w:val="0"/>
      <w:spacing w:before="100" w:beforeAutospacing="1" w:after="100" w:afterAutospacing="1" w:line="360" w:lineRule="atLeast"/>
    </w:pPr>
    <w:rPr>
      <w:rFonts w:ascii="宋体" w:hAnsi="Times New Roman" w:eastAsia="宋体" w:cs="宋体"/>
      <w:sz w:val="21"/>
      <w:szCs w:val="21"/>
      <w:lang w:val="en-US" w:eastAsia="zh-CN" w:bidi="ar-SA"/>
    </w:rPr>
  </w:style>
  <w:style w:type="paragraph" w:customStyle="1" w:styleId="621">
    <w:name w:val="样式 3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样式 3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3">
    <w:name w:val="样式 3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样式 35 10 磅"/>
    <w:autoRedefine/>
    <w:qFormat/>
    <w:uiPriority w:val="0"/>
    <w:pPr>
      <w:wordWrap w:val="0"/>
      <w:spacing w:before="100" w:beforeAutospacing="1" w:after="100" w:afterAutospacing="1" w:line="360" w:lineRule="atLeast"/>
    </w:pPr>
    <w:rPr>
      <w:rFonts w:ascii="宋体" w:hAnsi="Times New Roman" w:eastAsia="宋体" w:cs="宋体"/>
      <w:sz w:val="21"/>
      <w:szCs w:val="21"/>
      <w:lang w:val="en-US" w:eastAsia="zh-CN" w:bidi="ar-SA"/>
    </w:rPr>
  </w:style>
  <w:style w:type="paragraph" w:customStyle="1" w:styleId="625">
    <w:name w:val="样式 3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样式 3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7">
    <w:name w:val="样式 3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样式 3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9">
    <w:name w:val="样式 4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样式 4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样式 4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样式 4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3">
    <w:name w:val="样式 4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样式 4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样式 4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样式 4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7">
    <w:name w:val="样式 4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8">
    <w:name w:val="样式 4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样式 5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0">
    <w:name w:val="样式 5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样式 5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2">
    <w:name w:val="样式 5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3">
    <w:name w:val="样式 5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4">
    <w:name w:val="样式 5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5">
    <w:name w:val="样式 5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样式 5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样式 5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样式 5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样式 6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样式 6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样式 6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2">
    <w:name w:val="样式 6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样式 6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样式 6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样式 6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样式 6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样式 6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样式 6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样式 7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0">
    <w:name w:val="样式 7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样式 7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2">
    <w:name w:val="样式 7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3">
    <w:name w:val="样式 7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4">
    <w:name w:val="样式 7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5">
    <w:name w:val="样式 7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6">
    <w:name w:val="样式 7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样式 7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8">
    <w:name w:val="样式 7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样式 8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样式 8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样式 8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样式 8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样式 8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样式 8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5">
    <w:name w:val="样式 8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样式 8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样式 8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8">
    <w:name w:val="样式 8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样式 9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样式 9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样式 9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2">
    <w:name w:val="样式 9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3">
    <w:name w:val="样式 9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样式 9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样式 9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样式 9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样式 10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8">
    <w:name w:val="样式 10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9">
    <w:name w:val="样式 10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0">
    <w:name w:val="样式 10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1">
    <w:name w:val="样式 10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样式 10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3">
    <w:name w:val="样式 10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4">
    <w:name w:val="样式 10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5">
    <w:name w:val="样式 10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样式 10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7">
    <w:name w:val="样式 11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8">
    <w:name w:val="样式 1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样式 11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样式 11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1">
    <w:name w:val="样式 11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样式 11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3">
    <w:name w:val="样式 11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4">
    <w:name w:val="样式 11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样式 12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6">
    <w:name w:val="样式 1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7">
    <w:name w:val="样式 12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8">
    <w:name w:val="样式 12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样式 12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样式 12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1">
    <w:name w:val="样式 12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样式 12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样式 12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样式 12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样式 13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样式 13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样式 13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样式 13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9">
    <w:name w:val="样式 13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样式 13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样式 13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2">
    <w:name w:val="样式 13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3">
    <w:name w:val="样式 13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4">
    <w:name w:val="样式 13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5">
    <w:name w:val="样式 14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6">
    <w:name w:val="样式 14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7">
    <w:name w:val="样式 14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8">
    <w:name w:val="样式 14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样式 14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0">
    <w:name w:val="样式 14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样式 14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2">
    <w:name w:val="样式 14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3">
    <w:name w:val="样式 14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样式 14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5">
    <w:name w:val="样式 15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6">
    <w:name w:val="样式 15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7">
    <w:name w:val="样式 15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8">
    <w:name w:val="样式 15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9">
    <w:name w:val="样式 15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0">
    <w:name w:val="样式 15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样式 15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2">
    <w:name w:val="样式 15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3">
    <w:name w:val="样式 15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4">
    <w:name w:val="样式 15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5">
    <w:name w:val="样式 16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6">
    <w:name w:val="样式 16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7">
    <w:name w:val="样式 16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8">
    <w:name w:val="样式 16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9">
    <w:name w:val="样式 16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0">
    <w:name w:val="样式 16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样式 16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2">
    <w:name w:val="样式 16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3">
    <w:name w:val="样式 16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4">
    <w:name w:val="样式 16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5">
    <w:name w:val="样式 17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6">
    <w:name w:val="样式 17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7">
    <w:name w:val="样式 17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8">
    <w:name w:val="样式 17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9">
    <w:name w:val="样式 17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0">
    <w:name w:val="样式 17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1">
    <w:name w:val="样式 17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样式 17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3">
    <w:name w:val="样式 17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样式 17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样式 18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6">
    <w:name w:val="样式 18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7">
    <w:name w:val="样式 18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样式 18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样式 18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样式 18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1">
    <w:name w:val="样式 18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样式 18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样式 18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样式 18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样式 19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样式 19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7">
    <w:name w:val="样式 19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8">
    <w:name w:val="样式 19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9">
    <w:name w:val="样式 19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0">
    <w:name w:val="样式 19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1">
    <w:name w:val="样式 19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2">
    <w:name w:val="样式 19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样式 19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4">
    <w:name w:val="样式 19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5">
    <w:name w:val="样式 20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6">
    <w:name w:val="样式 20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7">
    <w:name w:val="样式 20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8">
    <w:name w:val="样式 20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9">
    <w:name w:val="样式 20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0">
    <w:name w:val="样式 20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样式 20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2">
    <w:name w:val="样式 20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3">
    <w:name w:val="样式 20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样式 20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5">
    <w:name w:val="样式 21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样式 2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样式 21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8">
    <w:name w:val="样式 21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9">
    <w:name w:val="样式 21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0">
    <w:name w:val="样式 21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1">
    <w:name w:val="样式 21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样式 21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3">
    <w:name w:val="样式 21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样式 21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5">
    <w:name w:val="样式 22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6">
    <w:name w:val="样式 2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7">
    <w:name w:val="样式 22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8">
    <w:name w:val="样式 22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9">
    <w:name w:val="样式 22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样式 22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1">
    <w:name w:val="样式 22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样式 22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3">
    <w:name w:val="样式 22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4">
    <w:name w:val="样式 22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5">
    <w:name w:val="样式 23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样式 23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样式 23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8">
    <w:name w:val="样式 23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9">
    <w:name w:val="样式 23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0">
    <w:name w:val="样式 23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1">
    <w:name w:val="样式 23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样式 23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样式 23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样式 23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样式 24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6">
    <w:name w:val="样式 24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7">
    <w:name w:val="样式 24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8">
    <w:name w:val="样式 24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9">
    <w:name w:val="样式 24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0">
    <w:name w:val="样式 24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1">
    <w:name w:val="样式 24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2">
    <w:name w:val="样式 24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3">
    <w:name w:val="样式 24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4">
    <w:name w:val="样式 2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5">
    <w:name w:val="样式 2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6">
    <w:name w:val="样式 25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7">
    <w:name w:val="样式 25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8">
    <w:name w:val="样式 25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9">
    <w:name w:val="样式 25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0">
    <w:name w:val="样式 2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1">
    <w:name w:val="样式 2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2">
    <w:name w:val="样式 25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3">
    <w:name w:val="样式 25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样式 25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5">
    <w:name w:val="样式 26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6">
    <w:name w:val="样式 26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7">
    <w:name w:val="样式 2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8">
    <w:name w:val="样式 26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9">
    <w:name w:val="样式 26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0">
    <w:name w:val="样式 26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1">
    <w:name w:val="样式 26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2">
    <w:name w:val="样式 26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3">
    <w:name w:val="样式 2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4">
    <w:name w:val="样式 26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5">
    <w:name w:val="样式 27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6">
    <w:name w:val="样式 27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7">
    <w:name w:val="样式 27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8">
    <w:name w:val="样式 27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9">
    <w:name w:val="样式 27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0">
    <w:name w:val="样式 27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1">
    <w:name w:val="样式 27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2">
    <w:name w:val="样式 27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样式 27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样式 27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样式 28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样式 2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7">
    <w:name w:val="样式 2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样式 28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样式 28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样式 28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样式 28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2">
    <w:name w:val="样式 28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3">
    <w:name w:val="样式 28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4">
    <w:name w:val="样式 28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5">
    <w:name w:val="样式 29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6">
    <w:name w:val="样式 29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样式 29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样式 29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9">
    <w:name w:val="样式 29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0">
    <w:name w:val="样式 29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1">
    <w:name w:val="样式 29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2">
    <w:name w:val="样式 29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样式 29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4">
    <w:name w:val="样式 29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5">
    <w:name w:val="样式 30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样式 30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7">
    <w:name w:val="样式 30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样式 30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样式 30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0">
    <w:name w:val="样式 30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样式 30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样式 30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3">
    <w:name w:val="样式 30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4">
    <w:name w:val="样式 30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5">
    <w:name w:val="样式 31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样式 3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7">
    <w:name w:val="样式 31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样式 31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9">
    <w:name w:val="样式 31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0">
    <w:name w:val="样式 31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样式 31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2">
    <w:name w:val="样式 31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样式 31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样式 31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样式 32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样式 32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样式 32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样式 32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9">
    <w:name w:val="样式 32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0">
    <w:name w:val="样式 32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1">
    <w:name w:val="样式 32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样式 32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3">
    <w:name w:val="样式 32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4">
    <w:name w:val="样式 32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5">
    <w:name w:val="样式 33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6">
    <w:name w:val="样式 33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样式 33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8">
    <w:name w:val="样式 33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9">
    <w:name w:val="样式 33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0">
    <w:name w:val="样式 33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1">
    <w:name w:val="样式 33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2">
    <w:name w:val="样式 33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3">
    <w:name w:val="样式 33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样式 33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样式 34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样式 34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样式 34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样式 34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样式 34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0">
    <w:name w:val="样式 34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样式 34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2">
    <w:name w:val="样式 34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3">
    <w:name w:val="样式 34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4">
    <w:name w:val="样式 34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样式 35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6">
    <w:name w:val="样式 35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7">
    <w:name w:val="样式 35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8">
    <w:name w:val="样式 35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9">
    <w:name w:val="样式 3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0">
    <w:name w:val="样式 3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样式 35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样式 35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3">
    <w:name w:val="样式 35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4">
    <w:name w:val="样式 35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5">
    <w:name w:val="样式 3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6">
    <w:name w:val="样式 3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7">
    <w:name w:val="样式 36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8">
    <w:name w:val="样式 36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样式 36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0">
    <w:name w:val="样式 36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1">
    <w:name w:val="样式 36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2">
    <w:name w:val="样式 36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3">
    <w:name w:val="样式 36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4">
    <w:name w:val="样式 36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5">
    <w:name w:val="样式 37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6">
    <w:name w:val="样式 37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7">
    <w:name w:val="样式 37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8">
    <w:name w:val="样式 37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9">
    <w:name w:val="样式 37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0">
    <w:name w:val="样式 37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1">
    <w:name w:val="样式 37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2">
    <w:name w:val="样式 37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样式 37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4">
    <w:name w:val="样式 37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5">
    <w:name w:val="样式 38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6">
    <w:name w:val="样式 38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7">
    <w:name w:val="样式 38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8">
    <w:name w:val="样式 38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9">
    <w:name w:val="样式 38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0">
    <w:name w:val="样式 38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1">
    <w:name w:val="样式 38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2">
    <w:name w:val="样式 38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3">
    <w:name w:val="样式 38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4">
    <w:name w:val="样式 38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5">
    <w:name w:val="样式 39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6">
    <w:name w:val="样式 39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7">
    <w:name w:val="样式 39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8">
    <w:name w:val="样式 39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9">
    <w:name w:val="样式 39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0">
    <w:name w:val="样式 39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1">
    <w:name w:val="样式 39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2">
    <w:name w:val="样式 39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3">
    <w:name w:val="样式 39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4">
    <w:name w:val="样式 39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5">
    <w:name w:val="样式 40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6">
    <w:name w:val="样式 40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7">
    <w:name w:val="样式 40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样式 40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9">
    <w:name w:val="样式 40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0">
    <w:name w:val="样式 40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1">
    <w:name w:val="样式 40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2">
    <w:name w:val="样式 40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样式 40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样式 40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5">
    <w:name w:val="样式 41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6">
    <w:name w:val="样式 4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7">
    <w:name w:val="样式 41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8">
    <w:name w:val="样式 41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9">
    <w:name w:val="样式 41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0">
    <w:name w:val="样式 41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1">
    <w:name w:val="样式 41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2">
    <w:name w:val="样式 41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3">
    <w:name w:val="样式 41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4">
    <w:name w:val="样式 42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5">
    <w:name w:val="样式 4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6">
    <w:name w:val="样式 42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7">
    <w:name w:val="样式 42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8">
    <w:name w:val="样式 42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9">
    <w:name w:val="样式 42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0">
    <w:name w:val="样式 42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样式 42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样式 42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3">
    <w:name w:val="样式 42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4">
    <w:name w:val="样式 43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5">
    <w:name w:val="样式 43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6">
    <w:name w:val="样式 43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7">
    <w:name w:val="样式 43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8">
    <w:name w:val="样式 43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9">
    <w:name w:val="样式 43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0">
    <w:name w:val="样式 43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1">
    <w:name w:val="样式 43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2">
    <w:name w:val="样式 43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3">
    <w:name w:val="样式 43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4">
    <w:name w:val="样式 44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5">
    <w:name w:val="样式 44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6">
    <w:name w:val="样式 44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7">
    <w:name w:val="样式 44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8">
    <w:name w:val="样式 44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样式 44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0">
    <w:name w:val="样式 44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样式 44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2">
    <w:name w:val="样式 44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3">
    <w:name w:val="样式 44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4">
    <w:name w:val="样式 45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5">
    <w:name w:val="样式 45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6">
    <w:name w:val="样式 45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7">
    <w:name w:val="样式 45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8">
    <w:name w:val="样式 45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9">
    <w:name w:val="样式 45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0">
    <w:name w:val="样式 45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1">
    <w:name w:val="样式 45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2">
    <w:name w:val="样式 45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样式 45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4">
    <w:name w:val="样式 46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5">
    <w:name w:val="样式 46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6">
    <w:name w:val="样式 46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7">
    <w:name w:val="样式 46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8">
    <w:name w:val="样式 46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9">
    <w:name w:val="样式 46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样式 46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样式 46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2">
    <w:name w:val="样式 46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样式 46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样式 47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样式 47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6">
    <w:name w:val="样式 47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7">
    <w:name w:val="样式 47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8">
    <w:name w:val="样式 47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9">
    <w:name w:val="样式 47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0">
    <w:name w:val="样式 47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1">
    <w:name w:val="样式 47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2">
    <w:name w:val="样式 47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3">
    <w:name w:val="样式 47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样式 48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5">
    <w:name w:val="样式 48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6">
    <w:name w:val="样式 48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样式 48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8">
    <w:name w:val="样式 48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9">
    <w:name w:val="样式 48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0">
    <w:name w:val="样式 48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1">
    <w:name w:val="样式 48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2">
    <w:name w:val="样式 48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3">
    <w:name w:val="样式 48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4">
    <w:name w:val="样式 49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样式 49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6">
    <w:name w:val="样式 49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7">
    <w:name w:val="样式 49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8">
    <w:name w:val="样式 49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9">
    <w:name w:val="样式 49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0">
    <w:name w:val="样式 49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1">
    <w:name w:val="样式 49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2">
    <w:name w:val="样式 49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3">
    <w:name w:val="样式 49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4">
    <w:name w:val="样式 50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5">
    <w:name w:val="样式 50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样式 50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7">
    <w:name w:val="样式 50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8">
    <w:name w:val="样式 50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9">
    <w:name w:val="样式 50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0">
    <w:name w:val="样式 50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1">
    <w:name w:val="样式 50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2">
    <w:name w:val="样式 50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3">
    <w:name w:val="样式 50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4">
    <w:name w:val="样式 51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5">
    <w:name w:val="样式 5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样式 51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7">
    <w:name w:val="样式 51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8">
    <w:name w:val="样式 51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9">
    <w:name w:val="样式 51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样式 51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样式 51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样式 51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3">
    <w:name w:val="样式 52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4">
    <w:name w:val="样式 5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5">
    <w:name w:val="样式 52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6">
    <w:name w:val="样式 52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7">
    <w:name w:val="样式 52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8">
    <w:name w:val="样式 52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9">
    <w:name w:val="样式 52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0">
    <w:name w:val="样式 52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1">
    <w:name w:val="样式 52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2">
    <w:name w:val="样式 52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3">
    <w:name w:val="样式 53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4">
    <w:name w:val="样式 53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5">
    <w:name w:val="样式 53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6">
    <w:name w:val="样式 53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样式 53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8">
    <w:name w:val="样式 53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9">
    <w:name w:val="样式 53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0">
    <w:name w:val="样式 53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1">
    <w:name w:val="样式 53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2">
    <w:name w:val="样式 53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3">
    <w:name w:val="样式 54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4">
    <w:name w:val="样式 54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5">
    <w:name w:val="样式 54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6">
    <w:name w:val="样式 54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7">
    <w:name w:val="样式 54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8">
    <w:name w:val="样式 54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9">
    <w:name w:val="样式 54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0">
    <w:name w:val="样式 54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1">
    <w:name w:val="样式 54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2">
    <w:name w:val="样式 54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3">
    <w:name w:val="样式 55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4">
    <w:name w:val="样式 55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5">
    <w:name w:val="样式 55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6">
    <w:name w:val="样式 55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7">
    <w:name w:val="样式 55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8">
    <w:name w:val="样式 55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9">
    <w:name w:val="样式 55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0">
    <w:name w:val="样式 55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1">
    <w:name w:val="样式 55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2">
    <w:name w:val="样式 55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3">
    <w:name w:val="样式 56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4">
    <w:name w:val="样式 56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5">
    <w:name w:val="样式 56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6">
    <w:name w:val="样式 56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7">
    <w:name w:val="样式 56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8">
    <w:name w:val="样式 56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9">
    <w:name w:val="样式 56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0">
    <w:name w:val="样式 56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1">
    <w:name w:val="样式 56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2">
    <w:name w:val="样式 56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3">
    <w:name w:val="样式 57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4">
    <w:name w:val="样式 57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5">
    <w:name w:val="样式 57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6">
    <w:name w:val="样式 57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7">
    <w:name w:val="样式 57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8">
    <w:name w:val="样式 57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9">
    <w:name w:val="样式 57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0">
    <w:name w:val="样式 57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1">
    <w:name w:val="样式 57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2">
    <w:name w:val="样式 57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3">
    <w:name w:val="样式 58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4">
    <w:name w:val="样式 58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5">
    <w:name w:val="样式 58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6">
    <w:name w:val="样式 58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7">
    <w:name w:val="样式 58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8">
    <w:name w:val="样式 58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9">
    <w:name w:val="样式 58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0">
    <w:name w:val="样式 58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1">
    <w:name w:val="样式 58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2">
    <w:name w:val="样式 58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3">
    <w:name w:val="样式 59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4">
    <w:name w:val="样式 59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5">
    <w:name w:val="样式 59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6">
    <w:name w:val="样式 59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7">
    <w:name w:val="样式 59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8">
    <w:name w:val="样式 59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9">
    <w:name w:val="样式 59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0">
    <w:name w:val="样式 59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1">
    <w:name w:val="样式 59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2">
    <w:name w:val="样式 59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3">
    <w:name w:val="样式 60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4">
    <w:name w:val="样式 60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5">
    <w:name w:val="样式 60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6">
    <w:name w:val="样式 60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7">
    <w:name w:val="样式 60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8">
    <w:name w:val="样式 60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9">
    <w:name w:val="样式 60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0">
    <w:name w:val="样式 60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1">
    <w:name w:val="样式 60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2">
    <w:name w:val="样式 60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3">
    <w:name w:val="样式 61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4">
    <w:name w:val="样式 6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5">
    <w:name w:val="样式 61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6">
    <w:name w:val="样式 61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7">
    <w:name w:val="样式 61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8">
    <w:name w:val="样式 61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9">
    <w:name w:val="样式 61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0">
    <w:name w:val="样式 61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1">
    <w:name w:val="样式 61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2">
    <w:name w:val="样式 61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3">
    <w:name w:val="样式 62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4">
    <w:name w:val="样式 6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5">
    <w:name w:val="样式 62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6">
    <w:name w:val="样式 62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7">
    <w:name w:val="样式 62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8">
    <w:name w:val="样式 62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9">
    <w:name w:val="样式 62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0">
    <w:name w:val="样式 62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1">
    <w:name w:val="样式 62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2">
    <w:name w:val="样式 62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3">
    <w:name w:val="样式 63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4">
    <w:name w:val="样式 63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5">
    <w:name w:val="样式 63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6">
    <w:name w:val="样式 63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7">
    <w:name w:val="样式 63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8">
    <w:name w:val="样式 63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9">
    <w:name w:val="样式 63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0">
    <w:name w:val="样式 63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1">
    <w:name w:val="样式 63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2">
    <w:name w:val="样式 63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3">
    <w:name w:val="样式 64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4">
    <w:name w:val="样式 64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5">
    <w:name w:val="样式 64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6">
    <w:name w:val="样式 64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7">
    <w:name w:val="样式 64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8">
    <w:name w:val="样式 64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9">
    <w:name w:val="样式 64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0">
    <w:name w:val="样式 64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1">
    <w:name w:val="样式 64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2">
    <w:name w:val="样式 64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3">
    <w:name w:val="样式 65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4">
    <w:name w:val="样式 65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5">
    <w:name w:val="样式 65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6">
    <w:name w:val="样式 65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7">
    <w:name w:val="样式 65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8">
    <w:name w:val="样式 65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9">
    <w:name w:val="样式 65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0">
    <w:name w:val="样式 65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1">
    <w:name w:val="样式 65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2">
    <w:name w:val="样式 65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3">
    <w:name w:val="样式 66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4">
    <w:name w:val="样式 66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5">
    <w:name w:val="样式 66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样式 66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7">
    <w:name w:val="样式 66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8">
    <w:name w:val="样式 66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9">
    <w:name w:val="样式 66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0">
    <w:name w:val="样式 66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1">
    <w:name w:val="样式 66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2">
    <w:name w:val="样式 66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3">
    <w:name w:val="样式 67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4">
    <w:name w:val="样式 67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5">
    <w:name w:val="样式 67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6">
    <w:name w:val="样式 67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7">
    <w:name w:val="样式 67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样式 67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9">
    <w:name w:val="样式 67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0">
    <w:name w:val="样式 67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1">
    <w:name w:val="样式 67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2">
    <w:name w:val="样式 67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3">
    <w:name w:val="样式 68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4">
    <w:name w:val="样式 68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5">
    <w:name w:val="样式 68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6">
    <w:name w:val="样式 68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7">
    <w:name w:val="样式 68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8">
    <w:name w:val="样式 68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9">
    <w:name w:val="样式 68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0">
    <w:name w:val="样式 68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样式 68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2">
    <w:name w:val="样式 68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3">
    <w:name w:val="样式 69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样式 69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5">
    <w:name w:val="样式 69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6">
    <w:name w:val="样式 69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7">
    <w:name w:val="样式 69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8">
    <w:name w:val="样式 69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9">
    <w:name w:val="样式 69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0">
    <w:name w:val="样式 69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1">
    <w:name w:val="样式 69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2">
    <w:name w:val="样式 69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3">
    <w:name w:val="样式 70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4">
    <w:name w:val="样式 70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5">
    <w:name w:val="样式 70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6">
    <w:name w:val="样式 70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7">
    <w:name w:val="样式 70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8">
    <w:name w:val="样式 70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9">
    <w:name w:val="样式 70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0">
    <w:name w:val="样式 70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1">
    <w:name w:val="样式 70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2">
    <w:name w:val="样式 70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3">
    <w:name w:val="样式 71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4">
    <w:name w:val="样式 7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5">
    <w:name w:val="样式 71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6">
    <w:name w:val="样式 71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7">
    <w:name w:val="样式 71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8">
    <w:name w:val="样式 71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9">
    <w:name w:val="样式 71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0">
    <w:name w:val="样式 71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1">
    <w:name w:val="样式 71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2">
    <w:name w:val="样式 71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3">
    <w:name w:val="样式 72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4">
    <w:name w:val="样式 7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5">
    <w:name w:val="样式 72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6">
    <w:name w:val="样式 72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7">
    <w:name w:val="样式 72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8">
    <w:name w:val="样式 72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9">
    <w:name w:val="样式 72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0">
    <w:name w:val="样式 72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1">
    <w:name w:val="样式 72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2">
    <w:name w:val="样式 72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3">
    <w:name w:val="样式 73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4">
    <w:name w:val="样式 73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5">
    <w:name w:val="样式 73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6">
    <w:name w:val="样式 73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7">
    <w:name w:val="样式 73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8">
    <w:name w:val="样式 73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9">
    <w:name w:val="样式 73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0">
    <w:name w:val="样式 73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1">
    <w:name w:val="样式 73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2">
    <w:name w:val="样式 73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3">
    <w:name w:val="样式 74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4">
    <w:name w:val="样式 74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5">
    <w:name w:val="样式 74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6">
    <w:name w:val="样式 74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7">
    <w:name w:val="样式 74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8">
    <w:name w:val="样式 74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9">
    <w:name w:val="样式 74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0">
    <w:name w:val="样式 74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1">
    <w:name w:val="样式 74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2">
    <w:name w:val="样式 74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3">
    <w:name w:val="样式 75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4">
    <w:name w:val="样式 75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5">
    <w:name w:val="样式 75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6">
    <w:name w:val="样式 75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7">
    <w:name w:val="样式 75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8">
    <w:name w:val="样式 75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9">
    <w:name w:val="样式 75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0">
    <w:name w:val="样式 75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1">
    <w:name w:val="样式 75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2">
    <w:name w:val="样式 75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3">
    <w:name w:val="样式 76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4">
    <w:name w:val="样式 76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5">
    <w:name w:val="样式 76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6">
    <w:name w:val="样式 76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7">
    <w:name w:val="样式 76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8">
    <w:name w:val="样式 76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9">
    <w:name w:val="样式 76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0">
    <w:name w:val="样式 76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1">
    <w:name w:val="样式 768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2">
    <w:name w:val="样式 76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3">
    <w:name w:val="样式 770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4">
    <w:name w:val="样式 77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5">
    <w:name w:val="样式 772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6">
    <w:name w:val="样式 773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7">
    <w:name w:val="样式 774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8">
    <w:name w:val="样式 775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9">
    <w:name w:val="样式 77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0">
    <w:name w:val="样式 777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361">
    <w:name w:val="网格型2"/>
    <w:basedOn w:val="8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
    <w:basedOn w:val="8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3">
    <w:name w:val="样式 9 三号"/>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1364">
    <w:name w:val="样式 三号"/>
    <w:autoRedefin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1365">
    <w:name w:val="样式 51 三号"/>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1366">
    <w:name w:val="样式 48 三号"/>
    <w:next w:val="1"/>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1367">
    <w:name w:val="修订3"/>
    <w:autoRedefine/>
    <w:hidden/>
    <w:unhideWhenUsed/>
    <w:qFormat/>
    <w:uiPriority w:val="99"/>
    <w:rPr>
      <w:rFonts w:ascii="宋体" w:hAnsi="Times New Roman" w:eastAsia="宋体" w:cs="宋体"/>
      <w:sz w:val="21"/>
      <w:szCs w:val="24"/>
      <w:lang w:val="en-US" w:eastAsia="zh-CN" w:bidi="ar-SA"/>
    </w:rPr>
  </w:style>
  <w:style w:type="character" w:customStyle="1" w:styleId="1368">
    <w:name w:val="未处理的提及1"/>
    <w:basedOn w:val="88"/>
    <w:autoRedefine/>
    <w:semiHidden/>
    <w:unhideWhenUsed/>
    <w:qFormat/>
    <w:uiPriority w:val="99"/>
    <w:rPr>
      <w:color w:val="605E5C"/>
      <w:shd w:val="clear" w:color="auto" w:fill="E1DFDD"/>
    </w:rPr>
  </w:style>
  <w:style w:type="paragraph" w:customStyle="1" w:styleId="1369">
    <w:name w:val="修订4"/>
    <w:autoRedefine/>
    <w:hidden/>
    <w:unhideWhenUsed/>
    <w:qFormat/>
    <w:uiPriority w:val="99"/>
    <w:rPr>
      <w:rFonts w:ascii="宋体" w:hAnsi="Times New Roman" w:eastAsia="宋体" w:cs="宋体"/>
      <w:sz w:val="21"/>
      <w:szCs w:val="24"/>
      <w:lang w:val="en-US" w:eastAsia="zh-CN" w:bidi="ar-SA"/>
    </w:rPr>
  </w:style>
  <w:style w:type="paragraph" w:customStyle="1" w:styleId="1370">
    <w:name w:val="修订5"/>
    <w:autoRedefine/>
    <w:hidden/>
    <w:unhideWhenUsed/>
    <w:qFormat/>
    <w:uiPriority w:val="99"/>
    <w:rPr>
      <w:rFonts w:ascii="宋体" w:hAnsi="Times New Roman" w:eastAsia="宋体" w:cs="宋体"/>
      <w:sz w:val="21"/>
      <w:szCs w:val="24"/>
      <w:lang w:val="en-US" w:eastAsia="zh-CN" w:bidi="ar-SA"/>
    </w:rPr>
  </w:style>
  <w:style w:type="character" w:customStyle="1" w:styleId="1371">
    <w:name w:val="批注文字 Char"/>
    <w:autoRedefine/>
    <w:qFormat/>
    <w:uiPriority w:val="0"/>
    <w:rPr>
      <w:rFonts w:ascii="宋体"/>
      <w:sz w:val="34"/>
      <w:shd w:val="clear" w:color="auto" w:fill="FFFFFF"/>
    </w:rPr>
  </w:style>
  <w:style w:type="character" w:customStyle="1" w:styleId="1372">
    <w:name w:val="NormalCharacter"/>
    <w:qFormat/>
    <w:uiPriority w:val="0"/>
  </w:style>
  <w:style w:type="paragraph" w:customStyle="1" w:styleId="1373">
    <w:name w:val="Heading2"/>
    <w:basedOn w:val="1"/>
    <w:next w:val="1"/>
    <w:qFormat/>
    <w:uiPriority w:val="0"/>
    <w:pPr>
      <w:widowControl/>
    </w:pPr>
    <w:rPr>
      <w:rFonts w:ascii="Arial" w:hAnsi="Arial" w:eastAsia="黑体" w:cs="Times New Roman"/>
      <w:b/>
      <w:bCs/>
      <w:sz w:val="32"/>
      <w:szCs w:val="32"/>
    </w:rPr>
  </w:style>
  <w:style w:type="table" w:customStyle="1" w:styleId="1374">
    <w:name w:val="网格型4"/>
    <w:basedOn w:val="8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网格型5"/>
    <w:basedOn w:val="8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le Normal"/>
    <w:semiHidden/>
    <w:unhideWhenUsed/>
    <w:qFormat/>
    <w:uiPriority w:val="0"/>
    <w:tblPr>
      <w:tblCellMar>
        <w:top w:w="0" w:type="dxa"/>
        <w:left w:w="0" w:type="dxa"/>
        <w:bottom w:w="0" w:type="dxa"/>
        <w:right w:w="0" w:type="dxa"/>
      </w:tblCellMar>
    </w:tblPr>
  </w:style>
  <w:style w:type="paragraph" w:customStyle="1" w:styleId="1377">
    <w:name w:val="Table Text"/>
    <w:basedOn w:val="1"/>
    <w:semiHidden/>
    <w:qFormat/>
    <w:uiPriority w:val="0"/>
    <w:rPr>
      <w:rFonts w:eastAsia="Arial"/>
    </w:rPr>
  </w:style>
  <w:style w:type="paragraph" w:customStyle="1" w:styleId="1378">
    <w:name w:val="修订6"/>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79">
    <w:name w:val="cf01"/>
    <w:basedOn w:val="88"/>
    <w:qFormat/>
    <w:uiPriority w:val="0"/>
    <w:rPr>
      <w:rFonts w:hint="eastAsia" w:ascii="Microsoft YaHei UI" w:hAnsi="Microsoft YaHei UI" w:eastAsia="Microsoft YaHei UI"/>
      <w:sz w:val="18"/>
      <w:szCs w:val="18"/>
    </w:rPr>
  </w:style>
  <w:style w:type="character" w:customStyle="1" w:styleId="1380">
    <w:name w:val="cf11"/>
    <w:basedOn w:val="88"/>
    <w:qFormat/>
    <w:uiPriority w:val="0"/>
    <w:rPr>
      <w:rFonts w:hint="eastAsia" w:ascii="Microsoft YaHei UI" w:hAnsi="Microsoft YaHei UI" w:eastAsia="Microsoft YaHei UI"/>
      <w:sz w:val="18"/>
      <w:szCs w:val="18"/>
      <w:u w:val="single"/>
    </w:rPr>
  </w:style>
  <w:style w:type="paragraph" w:customStyle="1" w:styleId="1381">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82">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83">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84">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85">
    <w:name w:val="修订1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86">
    <w:name w:val="font31"/>
    <w:basedOn w:val="88"/>
    <w:qFormat/>
    <w:uiPriority w:val="0"/>
    <w:rPr>
      <w:rFonts w:hint="eastAsia" w:ascii="宋体" w:hAnsi="宋体" w:eastAsia="宋体" w:cs="宋体"/>
      <w:color w:val="000000"/>
      <w:sz w:val="16"/>
      <w:szCs w:val="16"/>
      <w:u w:val="none"/>
    </w:rPr>
  </w:style>
  <w:style w:type="character" w:customStyle="1" w:styleId="1387">
    <w:name w:val="font51"/>
    <w:basedOn w:val="88"/>
    <w:qFormat/>
    <w:uiPriority w:val="0"/>
    <w:rPr>
      <w:rFonts w:hint="eastAsia" w:ascii="宋体" w:hAnsi="宋体" w:eastAsia="宋体" w:cs="宋体"/>
      <w:color w:val="FF0000"/>
      <w:sz w:val="20"/>
      <w:szCs w:val="20"/>
      <w:u w:val="none"/>
    </w:rPr>
  </w:style>
  <w:style w:type="character" w:customStyle="1" w:styleId="1388">
    <w:name w:val="font41"/>
    <w:basedOn w:val="88"/>
    <w:qFormat/>
    <w:uiPriority w:val="0"/>
    <w:rPr>
      <w:rFonts w:hint="eastAsia" w:ascii="宋体" w:hAnsi="宋体" w:eastAsia="宋体" w:cs="宋体"/>
      <w:color w:val="FF0000"/>
      <w:sz w:val="20"/>
      <w:szCs w:val="20"/>
      <w:u w:val="none"/>
    </w:rPr>
  </w:style>
  <w:style w:type="paragraph" w:customStyle="1" w:styleId="1389">
    <w:name w:val="修订12"/>
    <w:hidden/>
    <w:unhideWhenUsed/>
    <w:uiPriority w:val="99"/>
    <w:rPr>
      <w:rFonts w:asciiTheme="minorHAnsi" w:hAnsiTheme="minorHAnsi" w:eastAsiaTheme="minorEastAsia" w:cstheme="minorBidi"/>
      <w:kern w:val="2"/>
      <w:sz w:val="21"/>
      <w:szCs w:val="22"/>
      <w:lang w:val="en-US" w:eastAsia="zh-CN" w:bidi="ar-SA"/>
    </w:rPr>
  </w:style>
  <w:style w:type="paragraph" w:customStyle="1" w:styleId="1390">
    <w:name w:val="修订13"/>
    <w:hidden/>
    <w:unhideWhenUsed/>
    <w:uiPriority w:val="99"/>
    <w:rPr>
      <w:rFonts w:asciiTheme="minorHAnsi" w:hAnsiTheme="minorHAnsi" w:eastAsiaTheme="minorEastAsia" w:cstheme="minorBidi"/>
      <w:kern w:val="2"/>
      <w:sz w:val="21"/>
      <w:szCs w:val="22"/>
      <w:lang w:val="en-US" w:eastAsia="zh-CN" w:bidi="ar-SA"/>
    </w:rPr>
  </w:style>
  <w:style w:type="paragraph" w:customStyle="1" w:styleId="1391">
    <w:name w:val="修订14"/>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D62D-5C61-48EE-9BC9-5C3DE1EC47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97</Pages>
  <Words>56021</Words>
  <Characters>64830</Characters>
  <Lines>512</Lines>
  <Paragraphs>144</Paragraphs>
  <TotalTime>11</TotalTime>
  <ScaleCrop>false</ScaleCrop>
  <LinksUpToDate>false</LinksUpToDate>
  <CharactersWithSpaces>66956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2024-11-29T09:10:00Z</dcterms:created>
  <dc:creator>Administrator</dc:creator>
  <cp:lastModifiedBy>微信用户</cp:lastModifiedBy>
  <dcterms:modified xsi:type="dcterms:W3CDTF">2024-12-03T03:15:16Z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6262E7B8C8184090B6540AA3B2977024_13</vt:lpwstr>
  </property>
</Properties>
</file>